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90" w:lineRule="exact"/>
        <w:jc w:val="left"/>
        <w:rPr>
          <w:rFonts w:hint="default" w:ascii="Times New Roman" w:hAnsi="Times New Roman" w:eastAsia="黑体" w:cs="Times New Roman"/>
          <w:snapToGrid w:val="0"/>
          <w:sz w:val="32"/>
          <w:szCs w:val="32"/>
        </w:rPr>
      </w:pPr>
      <w:r>
        <w:rPr>
          <w:rFonts w:hint="default" w:ascii="Times New Roman" w:hAnsi="Times New Roman" w:eastAsia="黑体" w:cs="Times New Roman"/>
          <w:snapToGrid w:val="0"/>
          <w:sz w:val="32"/>
          <w:szCs w:val="32"/>
        </w:rPr>
        <w:t>附件</w:t>
      </w:r>
    </w:p>
    <w:p>
      <w:pPr>
        <w:pStyle w:val="3"/>
        <w:rPr>
          <w:rFonts w:hint="default" w:ascii="Times New Roman" w:hAnsi="Times New Roman" w:eastAsia="仿宋_GB2312" w:cs="Times New Roman"/>
        </w:rPr>
      </w:pPr>
    </w:p>
    <w:p>
      <w:pPr>
        <w:spacing w:line="700" w:lineRule="exact"/>
        <w:jc w:val="center"/>
        <w:rPr>
          <w:rFonts w:hint="default" w:ascii="Times New Roman" w:hAnsi="Times New Roman" w:eastAsia="方正小标宋简体" w:cs="Times New Roman"/>
          <w:snapToGrid w:val="0"/>
          <w:sz w:val="44"/>
          <w:szCs w:val="44"/>
        </w:rPr>
      </w:pPr>
      <w:r>
        <w:rPr>
          <w:rFonts w:hint="default" w:ascii="Times New Roman" w:hAnsi="Times New Roman" w:eastAsia="方正小标宋简体" w:cs="Times New Roman"/>
          <w:snapToGrid w:val="0"/>
          <w:sz w:val="44"/>
          <w:szCs w:val="44"/>
        </w:rPr>
        <w:t>2023年“如来如愿”如东营商环境</w:t>
      </w:r>
    </w:p>
    <w:p>
      <w:pPr>
        <w:spacing w:line="700" w:lineRule="exact"/>
        <w:jc w:val="center"/>
        <w:rPr>
          <w:rFonts w:hint="default" w:ascii="Times New Roman" w:hAnsi="Times New Roman" w:eastAsia="方正小标宋简体" w:cs="Times New Roman"/>
          <w:sz w:val="44"/>
          <w:szCs w:val="44"/>
        </w:rPr>
      </w:pPr>
      <w:r>
        <w:rPr>
          <w:rFonts w:hint="default" w:ascii="Times New Roman" w:hAnsi="Times New Roman" w:eastAsia="方正小标宋简体" w:cs="Times New Roman"/>
          <w:snapToGrid w:val="0"/>
          <w:sz w:val="44"/>
          <w:szCs w:val="44"/>
        </w:rPr>
        <w:t>优化提升举措66条</w:t>
      </w:r>
      <w:bookmarkStart w:id="0" w:name="_GoBack"/>
      <w:bookmarkEnd w:id="0"/>
    </w:p>
    <w:p>
      <w:pPr>
        <w:pStyle w:val="10"/>
        <w:spacing w:line="590" w:lineRule="exact"/>
        <w:ind w:firstLine="640"/>
        <w:rPr>
          <w:rFonts w:hint="default" w:ascii="Times New Roman" w:hAnsi="Times New Roman" w:eastAsia="仿宋_GB2312" w:cs="Times New Roman"/>
        </w:rPr>
      </w:pPr>
    </w:p>
    <w:p>
      <w:pPr>
        <w:spacing w:line="590" w:lineRule="exact"/>
        <w:ind w:firstLine="640" w:firstLineChars="200"/>
        <w:rPr>
          <w:rFonts w:hint="default" w:ascii="Times New Roman" w:hAnsi="Times New Roman" w:eastAsia="黑体" w:cs="Times New Roman"/>
          <w:sz w:val="32"/>
          <w:szCs w:val="32"/>
        </w:rPr>
      </w:pPr>
      <w:r>
        <w:rPr>
          <w:rFonts w:hint="default" w:ascii="Times New Roman" w:hAnsi="Times New Roman" w:eastAsia="黑体" w:cs="Times New Roman"/>
          <w:sz w:val="32"/>
          <w:szCs w:val="32"/>
        </w:rPr>
        <w:t>一、营造综合更优的政策环境（10条）</w:t>
      </w:r>
    </w:p>
    <w:p>
      <w:pPr>
        <w:pStyle w:val="13"/>
        <w:spacing w:line="590" w:lineRule="exact"/>
        <w:ind w:firstLine="640"/>
        <w:rPr>
          <w:rFonts w:hint="default" w:ascii="Times New Roman" w:hAnsi="Times New Roman" w:eastAsia="仿宋_GB2312" w:cs="Times New Roman"/>
          <w:sz w:val="32"/>
          <w:szCs w:val="32"/>
        </w:rPr>
      </w:pPr>
      <w:r>
        <w:rPr>
          <w:rFonts w:hint="default" w:ascii="Times New Roman" w:hAnsi="Times New Roman" w:eastAsia="楷体_GB2312" w:cs="Times New Roman"/>
          <w:sz w:val="32"/>
          <w:szCs w:val="32"/>
        </w:rPr>
        <w:t>1. 强化惠企政策落实，深化“兴企通”平台建设。</w:t>
      </w:r>
      <w:r>
        <w:rPr>
          <w:rFonts w:hint="default" w:ascii="Times New Roman" w:hAnsi="Times New Roman" w:eastAsia="仿宋_GB2312" w:cs="Times New Roman"/>
          <w:sz w:val="32"/>
          <w:szCs w:val="32"/>
        </w:rPr>
        <w:t>结合如东实际，落实出台支持企业稳增长、调结构、强能力和推动经济运行整体好转以及支持民营企业发展激发民间投资活力等相关政策措施。在全县企业中推广使用“兴企通”平台，不断优化平台政策解读、匹配、兑现等服务功能，有效解决企业优惠政策“找不到、读不懂、不会办、往返跑”等问题。进一步优化办理流程，推行惠企政策“免申即享”“简申快享”。加快财政涉企专项资金拨付进度，借助预算管理一体化系统，确保各类奖补资金及时拨付至市场主体，增强企业内生动力。</w:t>
      </w:r>
      <w:r>
        <w:rPr>
          <w:rFonts w:hint="default" w:ascii="Times New Roman" w:hAnsi="Times New Roman" w:eastAsia="楷体_GB2312" w:cs="Times New Roman"/>
          <w:sz w:val="32"/>
          <w:szCs w:val="32"/>
        </w:rPr>
        <w:t>（牵头单位：发改委、财政局，各</w:t>
      </w:r>
      <w:r>
        <w:rPr>
          <w:rFonts w:hint="default" w:ascii="Times New Roman" w:hAnsi="Times New Roman" w:eastAsia="楷体_GB2312" w:cs="Times New Roman"/>
          <w:sz w:val="32"/>
          <w:szCs w:val="32"/>
          <w:lang w:eastAsia="zh-CN"/>
        </w:rPr>
        <w:t>相关</w:t>
      </w:r>
      <w:r>
        <w:rPr>
          <w:rFonts w:hint="default" w:ascii="Times New Roman" w:hAnsi="Times New Roman" w:eastAsia="楷体_GB2312" w:cs="Times New Roman"/>
          <w:sz w:val="32"/>
          <w:szCs w:val="32"/>
        </w:rPr>
        <w:t>部门，各镇〈区、街道〉）</w:t>
      </w:r>
    </w:p>
    <w:p>
      <w:pPr>
        <w:pStyle w:val="13"/>
        <w:spacing w:line="590" w:lineRule="exact"/>
        <w:ind w:firstLine="640"/>
        <w:rPr>
          <w:rFonts w:hint="default" w:ascii="Times New Roman" w:hAnsi="Times New Roman" w:eastAsia="楷体_GB2312" w:cs="Times New Roman"/>
          <w:sz w:val="32"/>
          <w:szCs w:val="32"/>
        </w:rPr>
      </w:pPr>
      <w:r>
        <w:rPr>
          <w:rFonts w:hint="default" w:ascii="Times New Roman" w:hAnsi="Times New Roman" w:eastAsia="楷体_GB2312" w:cs="Times New Roman"/>
          <w:sz w:val="32"/>
          <w:szCs w:val="32"/>
        </w:rPr>
        <w:t>2. 推广运用市“同城货多多”平台，促进产业链供需对接。</w:t>
      </w:r>
      <w:r>
        <w:rPr>
          <w:rFonts w:hint="default" w:ascii="Times New Roman" w:hAnsi="Times New Roman" w:eastAsia="仿宋_GB2312" w:cs="Times New Roman"/>
          <w:sz w:val="32"/>
          <w:szCs w:val="32"/>
        </w:rPr>
        <w:t>聚焦全县产业链供应链需求，完善南通工业产业大全数据库如东板块，推广运用市“同城货多多”供需对接平台，推动如东企业产品信息和服务需求在平台交互，促进本地产业链供需对接。</w:t>
      </w:r>
      <w:r>
        <w:rPr>
          <w:rFonts w:hint="default" w:ascii="Times New Roman" w:hAnsi="Times New Roman" w:eastAsia="楷体_GB2312" w:cs="Times New Roman"/>
          <w:sz w:val="32"/>
          <w:szCs w:val="32"/>
        </w:rPr>
        <w:t>（牵头单位：发改委）</w:t>
      </w:r>
    </w:p>
    <w:p>
      <w:pPr>
        <w:pStyle w:val="13"/>
        <w:spacing w:line="590" w:lineRule="exact"/>
        <w:ind w:firstLine="640"/>
        <w:rPr>
          <w:rFonts w:hint="default" w:ascii="Times New Roman" w:hAnsi="Times New Roman" w:eastAsia="楷体_GB2312" w:cs="Times New Roman"/>
          <w:sz w:val="32"/>
          <w:szCs w:val="32"/>
        </w:rPr>
      </w:pPr>
      <w:r>
        <w:rPr>
          <w:rFonts w:hint="default" w:ascii="Times New Roman" w:hAnsi="Times New Roman" w:eastAsia="楷体_GB2312" w:cs="Times New Roman"/>
          <w:sz w:val="32"/>
          <w:szCs w:val="32"/>
        </w:rPr>
        <w:t>3. 推广转贷平台，降低企业资金周转成本。</w:t>
      </w:r>
      <w:r>
        <w:rPr>
          <w:rFonts w:hint="default" w:ascii="Times New Roman" w:hAnsi="Times New Roman" w:eastAsia="仿宋_GB2312" w:cs="Times New Roman"/>
          <w:sz w:val="32"/>
          <w:szCs w:val="32"/>
        </w:rPr>
        <w:t>引导企业通过合作银行申请转贷服务，对1000万元以下、10天以内的转贷业务实行优惠费率，日利率低至0.3‰以内，进一步降低企业资金周转成本。力争全年全县转贷规模超25亿元。</w:t>
      </w:r>
      <w:r>
        <w:rPr>
          <w:rFonts w:hint="default" w:ascii="Times New Roman" w:hAnsi="Times New Roman" w:eastAsia="楷体_GB2312" w:cs="Times New Roman"/>
          <w:sz w:val="32"/>
          <w:szCs w:val="32"/>
        </w:rPr>
        <w:t>（牵头单位：地方金融监管局、财政局）</w:t>
      </w:r>
    </w:p>
    <w:p>
      <w:pPr>
        <w:pStyle w:val="13"/>
        <w:spacing w:line="590" w:lineRule="exact"/>
        <w:ind w:firstLine="640"/>
        <w:rPr>
          <w:rFonts w:hint="default" w:ascii="Times New Roman" w:hAnsi="Times New Roman" w:eastAsia="楷体_GB2312" w:cs="Times New Roman"/>
          <w:sz w:val="32"/>
          <w:szCs w:val="32"/>
        </w:rPr>
      </w:pPr>
      <w:r>
        <w:rPr>
          <w:rFonts w:hint="default" w:ascii="Times New Roman" w:hAnsi="Times New Roman" w:eastAsia="楷体_GB2312" w:cs="Times New Roman"/>
          <w:sz w:val="32"/>
          <w:szCs w:val="32"/>
        </w:rPr>
        <w:t>4. 加强政银合作，提升企业融资便利度。</w:t>
      </w:r>
      <w:r>
        <w:rPr>
          <w:rFonts w:hint="default" w:ascii="Times New Roman" w:hAnsi="Times New Roman" w:eastAsia="仿宋_GB2312" w:cs="Times New Roman"/>
          <w:sz w:val="32"/>
          <w:szCs w:val="32"/>
        </w:rPr>
        <w:t>充分发挥省市普惠金融发展风险补偿基金作用，积极开展“小微贷”“苏科贷”等财政金融合作产品信贷业务。对吸纳就业多、稳岗效果好且用工规范的中小微企业推广“苏岗贷”普惠性信用贷款，在一定额度提供纯信用贷款支持，撬动更多的金融资源投向实体经济。推动政府性融资担保机构专注服务小微企业、个体工商户、新型农业经营主体等，平均年化综合担保费率不超过1%。</w:t>
      </w:r>
      <w:r>
        <w:rPr>
          <w:rFonts w:hint="default" w:ascii="Times New Roman" w:hAnsi="Times New Roman" w:eastAsia="楷体_GB2312" w:cs="Times New Roman"/>
          <w:sz w:val="32"/>
          <w:szCs w:val="32"/>
        </w:rPr>
        <w:t>（牵头单位：财政局、地方金融监管局、人社局）</w:t>
      </w:r>
    </w:p>
    <w:p>
      <w:pPr>
        <w:pStyle w:val="13"/>
        <w:spacing w:line="590" w:lineRule="exact"/>
        <w:ind w:firstLine="640"/>
        <w:rPr>
          <w:rFonts w:hint="default" w:ascii="Times New Roman" w:hAnsi="Times New Roman" w:eastAsia="楷体_GB2312" w:cs="Times New Roman"/>
          <w:sz w:val="32"/>
          <w:szCs w:val="32"/>
        </w:rPr>
      </w:pPr>
      <w:r>
        <w:rPr>
          <w:rFonts w:hint="default" w:ascii="Times New Roman" w:hAnsi="Times New Roman" w:eastAsia="楷体_GB2312" w:cs="Times New Roman"/>
          <w:sz w:val="32"/>
          <w:szCs w:val="32"/>
        </w:rPr>
        <w:t>5.</w:t>
      </w:r>
      <w:r>
        <w:rPr>
          <w:rFonts w:hint="default" w:ascii="Times New Roman" w:hAnsi="Times New Roman" w:eastAsia="楷体_GB2312" w:cs="Times New Roman"/>
          <w:sz w:val="32"/>
          <w:szCs w:val="32"/>
          <w:lang w:val="en-US" w:eastAsia="zh-CN"/>
        </w:rPr>
        <w:t xml:space="preserve"> </w:t>
      </w:r>
      <w:r>
        <w:rPr>
          <w:rFonts w:hint="default" w:ascii="Times New Roman" w:hAnsi="Times New Roman" w:eastAsia="楷体_GB2312" w:cs="Times New Roman"/>
          <w:sz w:val="32"/>
          <w:szCs w:val="32"/>
        </w:rPr>
        <w:t>“富民创业贷”助力大众创业创新。</w:t>
      </w:r>
      <w:r>
        <w:rPr>
          <w:rFonts w:hint="default" w:ascii="Times New Roman" w:hAnsi="Times New Roman" w:eastAsia="仿宋_GB2312" w:cs="Times New Roman"/>
          <w:sz w:val="32"/>
          <w:szCs w:val="32"/>
        </w:rPr>
        <w:t>落实《如东县富民创业担保贷款管理办法》，加大重点群体贴息力度，对贷款金额在15万元（含）以内的给予全额贴息；对符合贷款申请条件的重点群体进一步简化流程、优化服务。</w:t>
      </w:r>
      <w:r>
        <w:rPr>
          <w:rFonts w:hint="default" w:ascii="Times New Roman" w:hAnsi="Times New Roman" w:eastAsia="楷体_GB2312" w:cs="Times New Roman"/>
          <w:sz w:val="32"/>
          <w:szCs w:val="32"/>
        </w:rPr>
        <w:t>（牵头单位：人社局、财政局、人民银行如东县支行）</w:t>
      </w:r>
    </w:p>
    <w:p>
      <w:pPr>
        <w:spacing w:line="590" w:lineRule="exact"/>
        <w:ind w:firstLine="640" w:firstLineChars="200"/>
        <w:rPr>
          <w:rFonts w:hint="default" w:ascii="Times New Roman" w:hAnsi="Times New Roman" w:eastAsia="楷体_GB2312" w:cs="Times New Roman"/>
          <w:kern w:val="2"/>
          <w:sz w:val="32"/>
          <w:szCs w:val="32"/>
          <w:lang w:val="en-US" w:eastAsia="zh-CN" w:bidi="ar-SA"/>
        </w:rPr>
      </w:pPr>
      <w:r>
        <w:rPr>
          <w:rFonts w:hint="default" w:ascii="Times New Roman" w:hAnsi="Times New Roman" w:eastAsia="楷体_GB2312" w:cs="Times New Roman"/>
          <w:sz w:val="32"/>
          <w:szCs w:val="32"/>
        </w:rPr>
        <w:t>6. 推进物流业降本增效。</w:t>
      </w:r>
      <w:r>
        <w:rPr>
          <w:rFonts w:hint="default" w:ascii="Times New Roman" w:hAnsi="Times New Roman" w:eastAsia="仿宋_GB2312" w:cs="Times New Roman"/>
          <w:sz w:val="32"/>
          <w:szCs w:val="32"/>
        </w:rPr>
        <w:t>开展铁路运输需求调研，对照货运站开通所需的最少运量，制定开通货运业务的补贴政策，争取开通海洋铁路</w:t>
      </w:r>
      <w:r>
        <w:rPr>
          <w:rFonts w:hint="default" w:ascii="Times New Roman" w:hAnsi="Times New Roman" w:eastAsia="方正仿宋_GBK" w:cs="Times New Roman"/>
          <w:sz w:val="32"/>
          <w:szCs w:val="32"/>
        </w:rPr>
        <w:t>栟</w:t>
      </w:r>
      <w:r>
        <w:rPr>
          <w:rFonts w:hint="default" w:ascii="Times New Roman" w:hAnsi="Times New Roman" w:eastAsia="仿宋_GB2312" w:cs="Times New Roman"/>
          <w:sz w:val="32"/>
          <w:szCs w:val="32"/>
        </w:rPr>
        <w:t>茶站、北渔站货运业务，为企业提供廉价、便捷、环保的铁路货运服务。研究制定扶持铁路货场拓展运输业务的政策。</w:t>
      </w:r>
      <w:r>
        <w:rPr>
          <w:rFonts w:hint="default" w:ascii="Times New Roman" w:hAnsi="Times New Roman" w:eastAsia="楷体_GB2312" w:cs="Times New Roman"/>
          <w:kern w:val="2"/>
          <w:sz w:val="32"/>
          <w:szCs w:val="32"/>
          <w:lang w:val="en-US" w:eastAsia="zh-CN" w:bidi="ar-SA"/>
        </w:rPr>
        <w:t>（牵头单位：交通运输局、发改委）</w:t>
      </w:r>
    </w:p>
    <w:p>
      <w:pPr>
        <w:adjustRightInd w:val="0"/>
        <w:snapToGrid w:val="0"/>
        <w:spacing w:line="590" w:lineRule="exact"/>
        <w:ind w:firstLine="640" w:firstLineChars="200"/>
        <w:rPr>
          <w:rFonts w:hint="default" w:ascii="Times New Roman" w:hAnsi="Times New Roman" w:eastAsia="楷体_GB2312" w:cs="Times New Roman"/>
          <w:kern w:val="2"/>
          <w:sz w:val="32"/>
          <w:szCs w:val="32"/>
          <w:lang w:val="en-US" w:eastAsia="zh-CN" w:bidi="ar-SA"/>
        </w:rPr>
      </w:pPr>
      <w:r>
        <w:rPr>
          <w:rFonts w:hint="default" w:ascii="Times New Roman" w:hAnsi="Times New Roman" w:eastAsia="楷体_GB2312" w:cs="Times New Roman"/>
          <w:sz w:val="32"/>
          <w:szCs w:val="32"/>
        </w:rPr>
        <w:t>7. 压缩留抵退税时间，税费优惠直达快享。</w:t>
      </w:r>
      <w:r>
        <w:rPr>
          <w:rFonts w:hint="default" w:ascii="Times New Roman" w:hAnsi="Times New Roman" w:eastAsia="仿宋_GB2312" w:cs="Times New Roman"/>
          <w:sz w:val="32"/>
          <w:szCs w:val="32"/>
        </w:rPr>
        <w:t>正常留抵退税平均办理时长压缩到5个工作日内，缓解企业资金压力。大力推行社保优惠政策“免申即享”办理模式，进一步减轻企业负担。</w:t>
      </w:r>
      <w:r>
        <w:rPr>
          <w:rFonts w:hint="default" w:ascii="Times New Roman" w:hAnsi="Times New Roman" w:eastAsia="楷体_GB2312" w:cs="Times New Roman"/>
          <w:kern w:val="2"/>
          <w:sz w:val="32"/>
          <w:szCs w:val="32"/>
          <w:lang w:val="en-US" w:eastAsia="zh-CN" w:bidi="ar-SA"/>
        </w:rPr>
        <w:t>（牵头单位：税务局，责任单位：人社局、医疗保障局、财政局）</w:t>
      </w:r>
    </w:p>
    <w:p>
      <w:pPr>
        <w:spacing w:line="590" w:lineRule="exact"/>
        <w:ind w:firstLine="640" w:firstLineChars="200"/>
        <w:rPr>
          <w:rFonts w:hint="default" w:ascii="Times New Roman" w:hAnsi="Times New Roman" w:eastAsia="楷体_GB2312" w:cs="Times New Roman"/>
          <w:kern w:val="2"/>
          <w:sz w:val="32"/>
          <w:szCs w:val="32"/>
          <w:lang w:val="en-US" w:eastAsia="zh-CN" w:bidi="ar-SA"/>
        </w:rPr>
      </w:pPr>
      <w:r>
        <w:rPr>
          <w:rFonts w:hint="default" w:ascii="Times New Roman" w:hAnsi="Times New Roman" w:eastAsia="楷体_GB2312" w:cs="Times New Roman"/>
          <w:sz w:val="32"/>
          <w:szCs w:val="32"/>
        </w:rPr>
        <w:t>8. 强化涉企收费监督，助力企业“轻装前行”。</w:t>
      </w:r>
      <w:r>
        <w:rPr>
          <w:rFonts w:hint="default" w:ascii="Times New Roman" w:hAnsi="Times New Roman" w:eastAsia="仿宋_GB2312" w:cs="Times New Roman"/>
          <w:sz w:val="32"/>
          <w:szCs w:val="32"/>
        </w:rPr>
        <w:t>全面推广使用“转供电费码”，对符合条件的终端用户尽快实现直供到户和“一户一表”。按现行标准的80%收取水土保持补偿费，按80%标准收取水资源费省级部分。参照南通市市场监督管理局做法，在重点企业设立涉企收费监测哨点，在金融、公用事业单位建立涉企收费督导制度，防范违规收费行为。</w:t>
      </w:r>
      <w:r>
        <w:rPr>
          <w:rFonts w:hint="default" w:ascii="Times New Roman" w:hAnsi="Times New Roman" w:eastAsia="楷体_GB2312" w:cs="Times New Roman"/>
          <w:kern w:val="2"/>
          <w:sz w:val="32"/>
          <w:szCs w:val="32"/>
          <w:lang w:val="en-US" w:eastAsia="zh-CN" w:bidi="ar-SA"/>
        </w:rPr>
        <w:t>（牵头单位：发改委、水务局、市场监管局、国网如东县供电公司等有关部门和单位）</w:t>
      </w:r>
    </w:p>
    <w:p>
      <w:pPr>
        <w:spacing w:line="590" w:lineRule="exact"/>
        <w:ind w:firstLine="640" w:firstLineChars="200"/>
        <w:rPr>
          <w:rFonts w:hint="default" w:ascii="Times New Roman" w:hAnsi="Times New Roman" w:eastAsia="楷体_GB2312" w:cs="Times New Roman"/>
          <w:kern w:val="2"/>
          <w:sz w:val="32"/>
          <w:szCs w:val="32"/>
          <w:lang w:val="en-US" w:eastAsia="zh-CN" w:bidi="ar-SA"/>
        </w:rPr>
      </w:pPr>
      <w:r>
        <w:rPr>
          <w:rFonts w:hint="default" w:ascii="Times New Roman" w:hAnsi="Times New Roman" w:eastAsia="楷体_GB2312" w:cs="Times New Roman"/>
          <w:sz w:val="32"/>
          <w:szCs w:val="32"/>
        </w:rPr>
        <w:t>9. 鼓励科学技术创新。</w:t>
      </w:r>
      <w:r>
        <w:rPr>
          <w:rFonts w:hint="default" w:ascii="Times New Roman" w:hAnsi="Times New Roman" w:eastAsia="仿宋_GB2312" w:cs="Times New Roman"/>
          <w:sz w:val="32"/>
          <w:szCs w:val="32"/>
        </w:rPr>
        <w:t>安排科技专项资金，重点支持创新型企业培育、产业核心技术攻关、重大科技成果转化和科技创新生态建设。积极支持全县符合条件的企业申报国家高新技术企业和省级科技计划专项资金、科技成果转化专项资金等，不断激发创新主体活力。免征符合条件的科技企业孵化器和众创空间孵化服务增值税，对其自用及提供给在孵对象使用的房产、土地免征房产税和城镇土地使用税。符合条件的创投企业和天使投资个人对初创科技型企业投资的，按投资额70%抵扣应纳税所得额。</w:t>
      </w:r>
      <w:r>
        <w:rPr>
          <w:rFonts w:hint="default" w:ascii="Times New Roman" w:hAnsi="Times New Roman" w:eastAsia="楷体_GB2312" w:cs="Times New Roman"/>
          <w:kern w:val="2"/>
          <w:sz w:val="32"/>
          <w:szCs w:val="32"/>
          <w:lang w:val="en-US" w:eastAsia="zh-CN" w:bidi="ar-SA"/>
        </w:rPr>
        <w:t>（责任单位：科技局、税务局、财政局）</w:t>
      </w:r>
    </w:p>
    <w:p>
      <w:pPr>
        <w:spacing w:line="590" w:lineRule="exact"/>
        <w:ind w:firstLine="640" w:firstLineChars="200"/>
        <w:rPr>
          <w:rFonts w:hint="default" w:ascii="Times New Roman" w:hAnsi="Times New Roman" w:eastAsia="楷体_GB2312" w:cs="Times New Roman"/>
          <w:kern w:val="2"/>
          <w:sz w:val="32"/>
          <w:szCs w:val="32"/>
          <w:lang w:val="en-US" w:eastAsia="zh-CN" w:bidi="ar-SA"/>
        </w:rPr>
      </w:pPr>
      <w:r>
        <w:rPr>
          <w:rFonts w:hint="default" w:ascii="Times New Roman" w:hAnsi="Times New Roman" w:eastAsia="楷体_GB2312" w:cs="Times New Roman"/>
          <w:sz w:val="32"/>
          <w:szCs w:val="32"/>
        </w:rPr>
        <w:t>10. 更好发挥政府投资基金引导作用。</w:t>
      </w:r>
      <w:r>
        <w:rPr>
          <w:rFonts w:hint="default" w:ascii="Times New Roman" w:hAnsi="Times New Roman" w:eastAsia="仿宋_GB2312" w:cs="Times New Roman"/>
          <w:sz w:val="32"/>
          <w:szCs w:val="32"/>
        </w:rPr>
        <w:t>发挥如东东汇产业发展基金引导作用，优化基金投资布局，突出政策导向。围绕全县科技创新和产业链补链强链需求，统筹谋划科创类子基金，投资培育我县重点产业领域初创科技型企业。</w:t>
      </w:r>
      <w:r>
        <w:rPr>
          <w:rFonts w:hint="default" w:ascii="Times New Roman" w:hAnsi="Times New Roman" w:eastAsia="楷体_GB2312" w:cs="Times New Roman"/>
          <w:kern w:val="2"/>
          <w:sz w:val="32"/>
          <w:szCs w:val="32"/>
          <w:lang w:val="en-US" w:eastAsia="zh-CN" w:bidi="ar-SA"/>
        </w:rPr>
        <w:t>（牵头单位：科技局、财政局、发改委，各镇〈区、街道〉）</w:t>
      </w:r>
    </w:p>
    <w:p>
      <w:pPr>
        <w:spacing w:line="590" w:lineRule="exact"/>
        <w:ind w:firstLine="640" w:firstLineChars="200"/>
        <w:rPr>
          <w:rFonts w:hint="default" w:ascii="Times New Roman" w:hAnsi="Times New Roman" w:eastAsia="黑体" w:cs="Times New Roman"/>
          <w:sz w:val="32"/>
          <w:szCs w:val="32"/>
        </w:rPr>
      </w:pPr>
      <w:r>
        <w:rPr>
          <w:rFonts w:hint="default" w:ascii="Times New Roman" w:hAnsi="Times New Roman" w:eastAsia="黑体" w:cs="Times New Roman"/>
          <w:sz w:val="32"/>
          <w:szCs w:val="32"/>
        </w:rPr>
        <w:t>二、营造公平有序的市场环境（10条）</w:t>
      </w:r>
    </w:p>
    <w:p>
      <w:pPr>
        <w:spacing w:line="590" w:lineRule="exact"/>
        <w:ind w:firstLine="640" w:firstLineChars="200"/>
        <w:rPr>
          <w:rFonts w:hint="default" w:ascii="Times New Roman" w:hAnsi="Times New Roman" w:eastAsia="楷体_GB2312" w:cs="Times New Roman"/>
          <w:kern w:val="2"/>
          <w:sz w:val="32"/>
          <w:szCs w:val="32"/>
          <w:lang w:val="en-US" w:eastAsia="zh-CN" w:bidi="ar-SA"/>
        </w:rPr>
      </w:pPr>
      <w:r>
        <w:rPr>
          <w:rFonts w:hint="default" w:ascii="Times New Roman" w:hAnsi="Times New Roman" w:eastAsia="楷体_GB2312" w:cs="Times New Roman"/>
          <w:sz w:val="32"/>
          <w:szCs w:val="32"/>
        </w:rPr>
        <w:t>11. 持续推进“旗舰领航”行动。</w:t>
      </w:r>
      <w:r>
        <w:rPr>
          <w:rFonts w:hint="default" w:ascii="Times New Roman" w:hAnsi="Times New Roman" w:eastAsia="仿宋_GB2312" w:cs="Times New Roman"/>
          <w:sz w:val="32"/>
          <w:szCs w:val="32"/>
        </w:rPr>
        <w:t>开展第三批20家产业链龙头骨干企业质量体检，形成质量发展专项导航报告；分类推送产业技术贸易壁垒信息；推动起草国家标准、行业标准的企业参与第三批旗帜领航行动，加强跟踪指导。</w:t>
      </w:r>
      <w:r>
        <w:rPr>
          <w:rFonts w:hint="default" w:ascii="Times New Roman" w:hAnsi="Times New Roman" w:eastAsia="楷体_GB2312" w:cs="Times New Roman"/>
          <w:kern w:val="2"/>
          <w:sz w:val="32"/>
          <w:szCs w:val="32"/>
          <w:lang w:val="en-US" w:eastAsia="zh-CN" w:bidi="ar-SA"/>
        </w:rPr>
        <w:t>（牵头单位：市场监管局）</w:t>
      </w:r>
    </w:p>
    <w:p>
      <w:pPr>
        <w:spacing w:line="590" w:lineRule="exact"/>
        <w:ind w:firstLine="640" w:firstLineChars="200"/>
        <w:rPr>
          <w:rFonts w:hint="default" w:ascii="Times New Roman" w:hAnsi="Times New Roman" w:eastAsia="楷体_GB2312" w:cs="Times New Roman"/>
          <w:kern w:val="2"/>
          <w:sz w:val="32"/>
          <w:szCs w:val="32"/>
          <w:lang w:val="en-US" w:eastAsia="zh-CN" w:bidi="ar-SA"/>
        </w:rPr>
      </w:pPr>
      <w:r>
        <w:rPr>
          <w:rFonts w:hint="default" w:ascii="Times New Roman" w:hAnsi="Times New Roman" w:eastAsia="楷体_GB2312" w:cs="Times New Roman"/>
          <w:sz w:val="32"/>
          <w:szCs w:val="32"/>
        </w:rPr>
        <w:t>12.</w:t>
      </w:r>
      <w:r>
        <w:rPr>
          <w:rFonts w:hint="default" w:ascii="Times New Roman" w:hAnsi="Times New Roman" w:eastAsia="楷体_GB2312" w:cs="Times New Roman"/>
          <w:sz w:val="32"/>
          <w:szCs w:val="32"/>
          <w:lang w:val="en-US" w:eastAsia="zh-CN"/>
        </w:rPr>
        <w:t xml:space="preserve"> </w:t>
      </w:r>
      <w:r>
        <w:rPr>
          <w:rFonts w:hint="default" w:ascii="Times New Roman" w:hAnsi="Times New Roman" w:eastAsia="楷体_GB2312" w:cs="Times New Roman"/>
          <w:sz w:val="32"/>
          <w:szCs w:val="32"/>
        </w:rPr>
        <w:t>开展小微企业质量提升行动。</w:t>
      </w:r>
      <w:r>
        <w:rPr>
          <w:rFonts w:hint="default" w:ascii="Times New Roman" w:hAnsi="Times New Roman" w:eastAsia="仿宋_GB2312" w:cs="Times New Roman"/>
          <w:sz w:val="32"/>
          <w:szCs w:val="32"/>
        </w:rPr>
        <w:t>聚焦我县安全防护等特色产业，以质量合作社为载体，助力特色小微企业规范发展、提档升级，企业新增注册商标150个，制修订标准50个以上，新增质量管理体系20个，产品质量抽检整体合格率稳定在90%以上。扩大“小微贷”“苏质贷”合作成果，完成10家小微企业质量授信2亿元。</w:t>
      </w:r>
      <w:r>
        <w:rPr>
          <w:rFonts w:hint="default" w:ascii="Times New Roman" w:hAnsi="Times New Roman" w:eastAsia="楷体_GB2312" w:cs="Times New Roman"/>
          <w:kern w:val="2"/>
          <w:sz w:val="32"/>
          <w:szCs w:val="32"/>
          <w:lang w:val="en-US" w:eastAsia="zh-CN" w:bidi="ar-SA"/>
        </w:rPr>
        <w:t>（牵头单位：市场监管局、地方金融监管局）</w:t>
      </w:r>
    </w:p>
    <w:p>
      <w:pPr>
        <w:spacing w:line="590" w:lineRule="exact"/>
        <w:ind w:firstLine="640" w:firstLineChars="200"/>
        <w:rPr>
          <w:rFonts w:hint="default" w:ascii="Times New Roman" w:hAnsi="Times New Roman" w:eastAsia="楷体_GB2312" w:cs="Times New Roman"/>
          <w:kern w:val="2"/>
          <w:sz w:val="32"/>
          <w:szCs w:val="32"/>
          <w:lang w:val="en-US" w:eastAsia="zh-CN" w:bidi="ar-SA"/>
        </w:rPr>
      </w:pPr>
      <w:r>
        <w:rPr>
          <w:rFonts w:hint="default" w:ascii="Times New Roman" w:hAnsi="Times New Roman" w:eastAsia="楷体_GB2312" w:cs="Times New Roman"/>
          <w:sz w:val="32"/>
          <w:szCs w:val="32"/>
        </w:rPr>
        <w:t>13. 实施重点产业“强基提质”工程。</w:t>
      </w:r>
      <w:r>
        <w:rPr>
          <w:rFonts w:hint="default" w:ascii="Times New Roman" w:hAnsi="Times New Roman" w:eastAsia="仿宋_GB2312" w:cs="Times New Roman"/>
          <w:sz w:val="32"/>
          <w:szCs w:val="32"/>
        </w:rPr>
        <w:t>配合省药监局审评核查南通分中心，指导全县生物医药重点园区建设药械综合服务站。</w:t>
      </w:r>
      <w:r>
        <w:rPr>
          <w:rFonts w:hint="default" w:ascii="Times New Roman" w:hAnsi="Times New Roman" w:eastAsia="楷体_GB2312" w:cs="Times New Roman"/>
          <w:kern w:val="2"/>
          <w:sz w:val="32"/>
          <w:szCs w:val="32"/>
          <w:lang w:val="en-US" w:eastAsia="zh-CN" w:bidi="ar-SA"/>
        </w:rPr>
        <w:t>（牵头单位：市场监管局）</w:t>
      </w:r>
    </w:p>
    <w:p>
      <w:pPr>
        <w:spacing w:line="590" w:lineRule="exact"/>
        <w:ind w:firstLine="640" w:firstLineChars="200"/>
        <w:rPr>
          <w:rFonts w:hint="default" w:ascii="Times New Roman" w:hAnsi="Times New Roman" w:eastAsia="楷体_GB2312" w:cs="Times New Roman"/>
          <w:kern w:val="2"/>
          <w:sz w:val="32"/>
          <w:szCs w:val="32"/>
          <w:lang w:val="en-US" w:eastAsia="zh-CN" w:bidi="ar-SA"/>
        </w:rPr>
      </w:pPr>
      <w:r>
        <w:rPr>
          <w:rFonts w:hint="default" w:ascii="Times New Roman" w:hAnsi="Times New Roman" w:eastAsia="楷体_GB2312" w:cs="Times New Roman"/>
          <w:sz w:val="32"/>
          <w:szCs w:val="32"/>
        </w:rPr>
        <w:t>14. 实施特种设备服务提优工程。</w:t>
      </w:r>
      <w:r>
        <w:rPr>
          <w:rFonts w:hint="default" w:ascii="Times New Roman" w:hAnsi="Times New Roman" w:eastAsia="仿宋_GB2312" w:cs="Times New Roman"/>
          <w:sz w:val="32"/>
          <w:szCs w:val="32"/>
        </w:rPr>
        <w:t>培育如东本地电梯维保单位全部获评星级单位，申报四星级1家，对五星维保单位建立慎罚少罚机制。培育气瓶充装单位全部评定B级（含）及以上，实施气瓶充装单位差异化监管。大力推广叉车租赁使用平台，实现叉车资源统筹高效利用，减少企业投入成本。持续推广应用南通市特种设备智慧监察平台，印制《特种设备技术规范汇编》免费发放企业，全力推进特种设备作业人员绑定特种设备，为全县特种设备管理人员和作业人员提供全范围、全时段、全免费线上培训。</w:t>
      </w:r>
      <w:r>
        <w:rPr>
          <w:rFonts w:hint="default" w:ascii="Times New Roman" w:hAnsi="Times New Roman" w:eastAsia="楷体_GB2312" w:cs="Times New Roman"/>
          <w:kern w:val="2"/>
          <w:sz w:val="32"/>
          <w:szCs w:val="32"/>
          <w:lang w:val="en-US" w:eastAsia="zh-CN" w:bidi="ar-SA"/>
        </w:rPr>
        <w:t>（牵头单位：市场监管局）</w:t>
      </w:r>
    </w:p>
    <w:p>
      <w:pPr>
        <w:spacing w:line="590" w:lineRule="exact"/>
        <w:ind w:firstLine="640" w:firstLineChars="200"/>
        <w:rPr>
          <w:rFonts w:hint="default" w:ascii="Times New Roman" w:hAnsi="Times New Roman" w:eastAsia="楷体_GB2312" w:cs="Times New Roman"/>
          <w:kern w:val="2"/>
          <w:sz w:val="32"/>
          <w:szCs w:val="32"/>
          <w:lang w:val="en-US" w:eastAsia="zh-CN" w:bidi="ar-SA"/>
        </w:rPr>
      </w:pPr>
      <w:r>
        <w:rPr>
          <w:rFonts w:hint="default" w:ascii="Times New Roman" w:hAnsi="Times New Roman" w:eastAsia="楷体_GB2312" w:cs="Times New Roman"/>
          <w:sz w:val="32"/>
          <w:szCs w:val="32"/>
        </w:rPr>
        <w:t>15. 实施专利转化“雨露计划”。</w:t>
      </w:r>
      <w:r>
        <w:rPr>
          <w:rFonts w:hint="default" w:ascii="Times New Roman" w:hAnsi="Times New Roman" w:eastAsia="仿宋_GB2312" w:cs="Times New Roman"/>
          <w:sz w:val="32"/>
          <w:szCs w:val="32"/>
        </w:rPr>
        <w:t>聚焦全县以新能源、新材料、新装备等3大产业集群为主导的现代产业体系，推动40家以上中小企业实现专利技术转化120件以上，推动50家以上创新型中小企业实现知识产权质押融资7亿元以上。</w:t>
      </w:r>
      <w:r>
        <w:rPr>
          <w:rFonts w:hint="default" w:ascii="Times New Roman" w:hAnsi="Times New Roman" w:eastAsia="楷体_GB2312" w:cs="Times New Roman"/>
          <w:kern w:val="2"/>
          <w:sz w:val="32"/>
          <w:szCs w:val="32"/>
          <w:lang w:val="en-US" w:eastAsia="zh-CN" w:bidi="ar-SA"/>
        </w:rPr>
        <w:t>（牵头单位：市场监管局）</w:t>
      </w:r>
    </w:p>
    <w:p>
      <w:pPr>
        <w:spacing w:line="590" w:lineRule="exact"/>
        <w:ind w:firstLine="640" w:firstLineChars="200"/>
        <w:rPr>
          <w:rFonts w:hint="default" w:ascii="Times New Roman" w:hAnsi="Times New Roman" w:eastAsia="楷体_GB2312" w:cs="Times New Roman"/>
          <w:kern w:val="2"/>
          <w:sz w:val="32"/>
          <w:szCs w:val="32"/>
          <w:lang w:val="en-US" w:eastAsia="zh-CN" w:bidi="ar-SA"/>
        </w:rPr>
      </w:pPr>
      <w:r>
        <w:rPr>
          <w:rFonts w:hint="default" w:ascii="Times New Roman" w:hAnsi="Times New Roman" w:eastAsia="楷体_GB2312" w:cs="Times New Roman"/>
          <w:sz w:val="32"/>
          <w:szCs w:val="32"/>
        </w:rPr>
        <w:t>16. 推广运用企业商业秘密“保险箱计划”。</w:t>
      </w:r>
      <w:r>
        <w:rPr>
          <w:rFonts w:hint="default" w:ascii="Times New Roman" w:hAnsi="Times New Roman" w:eastAsia="仿宋_GB2312" w:cs="Times New Roman"/>
          <w:sz w:val="32"/>
          <w:szCs w:val="32"/>
        </w:rPr>
        <w:t>指导企业运用南通市商业秘密保护综合服务平台，为全县专精特新企业提供商业秘密保护线上培训指导、示范文本指引、自我风险评估和绿色维权通道等服务，打造商业秘密“保险箱”。</w:t>
      </w:r>
      <w:r>
        <w:rPr>
          <w:rFonts w:hint="default" w:ascii="Times New Roman" w:hAnsi="Times New Roman" w:eastAsia="楷体_GB2312" w:cs="Times New Roman"/>
          <w:kern w:val="2"/>
          <w:sz w:val="32"/>
          <w:szCs w:val="32"/>
          <w:lang w:val="en-US" w:eastAsia="zh-CN" w:bidi="ar-SA"/>
        </w:rPr>
        <w:t>（牵头单位：市场监管局）</w:t>
      </w:r>
    </w:p>
    <w:p>
      <w:pPr>
        <w:spacing w:line="590" w:lineRule="exact"/>
        <w:ind w:firstLine="640" w:firstLineChars="200"/>
        <w:rPr>
          <w:rFonts w:hint="default" w:ascii="Times New Roman" w:hAnsi="Times New Roman" w:eastAsia="楷体_GB2312" w:cs="Times New Roman"/>
          <w:kern w:val="2"/>
          <w:sz w:val="32"/>
          <w:szCs w:val="32"/>
          <w:lang w:val="en-US" w:eastAsia="zh-CN" w:bidi="ar-SA"/>
        </w:rPr>
      </w:pPr>
      <w:r>
        <w:rPr>
          <w:rFonts w:hint="default" w:ascii="Times New Roman" w:hAnsi="Times New Roman" w:eastAsia="楷体_GB2312" w:cs="Times New Roman"/>
          <w:sz w:val="32"/>
          <w:szCs w:val="32"/>
        </w:rPr>
        <w:t>17. 全面落实公平竞争审查制度。</w:t>
      </w:r>
      <w:r>
        <w:rPr>
          <w:rFonts w:hint="default" w:ascii="Times New Roman" w:hAnsi="Times New Roman" w:eastAsia="仿宋_GB2312" w:cs="Times New Roman"/>
          <w:sz w:val="32"/>
          <w:szCs w:val="32"/>
        </w:rPr>
        <w:t>根据南通市公平竞争审查联席会议办公室要求，推广应用“公平竞争e审查”监测评估信息化系统，实现政策文件公平竞争审查全覆盖，及时清理妨碍统一市场公平竞争的政策措施。不得将在本地注册企业、在本地设立分公司或者办事处、采购本地供应商、进入本地扶持名录等与中标结果挂钩。</w:t>
      </w:r>
      <w:r>
        <w:rPr>
          <w:rFonts w:hint="default" w:ascii="Times New Roman" w:hAnsi="Times New Roman" w:eastAsia="楷体_GB2312" w:cs="Times New Roman"/>
          <w:kern w:val="2"/>
          <w:sz w:val="32"/>
          <w:szCs w:val="32"/>
          <w:lang w:val="en-US" w:eastAsia="zh-CN" w:bidi="ar-SA"/>
        </w:rPr>
        <w:t>（牵头单位：市场监管局、财政局）</w:t>
      </w:r>
    </w:p>
    <w:p>
      <w:pPr>
        <w:spacing w:line="590" w:lineRule="exact"/>
        <w:ind w:firstLine="640" w:firstLineChars="200"/>
        <w:rPr>
          <w:rFonts w:hint="default" w:ascii="Times New Roman" w:hAnsi="Times New Roman" w:eastAsia="楷体_GB2312" w:cs="Times New Roman"/>
          <w:kern w:val="2"/>
          <w:sz w:val="32"/>
          <w:szCs w:val="32"/>
          <w:lang w:val="en-US" w:eastAsia="zh-CN" w:bidi="ar-SA"/>
        </w:rPr>
      </w:pPr>
      <w:r>
        <w:rPr>
          <w:rFonts w:hint="default" w:ascii="Times New Roman" w:hAnsi="Times New Roman" w:eastAsia="楷体_GB2312" w:cs="Times New Roman"/>
          <w:sz w:val="32"/>
          <w:szCs w:val="32"/>
        </w:rPr>
        <w:t>18. 投标保证金自动退还。</w:t>
      </w:r>
      <w:r>
        <w:rPr>
          <w:rFonts w:hint="default" w:ascii="Times New Roman" w:hAnsi="Times New Roman" w:eastAsia="仿宋_GB2312" w:cs="Times New Roman"/>
          <w:sz w:val="32"/>
          <w:szCs w:val="32"/>
        </w:rPr>
        <w:t>适用投标保证金收退新机制，全过程无需人工介入，全程智能化执行，保证金即可按照预定时点自动退还至投标人账户，进一步减轻企业负担。鼓励投标人使用电子保函。</w:t>
      </w:r>
      <w:r>
        <w:rPr>
          <w:rFonts w:hint="default" w:ascii="Times New Roman" w:hAnsi="Times New Roman" w:eastAsia="楷体_GB2312" w:cs="Times New Roman"/>
          <w:kern w:val="2"/>
          <w:sz w:val="32"/>
          <w:szCs w:val="32"/>
          <w:lang w:val="en-US" w:eastAsia="zh-CN" w:bidi="ar-SA"/>
        </w:rPr>
        <w:t>（牵头单位：行政审批局，责任单位：住建局、交通运输局、水务局）</w:t>
      </w:r>
    </w:p>
    <w:p>
      <w:pPr>
        <w:spacing w:line="590" w:lineRule="exact"/>
        <w:ind w:firstLine="640" w:firstLineChars="200"/>
        <w:rPr>
          <w:rFonts w:hint="default" w:ascii="Times New Roman" w:hAnsi="Times New Roman" w:eastAsia="楷体_GB2312" w:cs="Times New Roman"/>
          <w:kern w:val="2"/>
          <w:sz w:val="32"/>
          <w:szCs w:val="32"/>
          <w:lang w:val="en-US" w:eastAsia="zh-CN" w:bidi="ar-SA"/>
        </w:rPr>
      </w:pPr>
      <w:r>
        <w:rPr>
          <w:rFonts w:hint="default" w:ascii="Times New Roman" w:hAnsi="Times New Roman" w:eastAsia="楷体_GB2312" w:cs="Times New Roman"/>
          <w:sz w:val="32"/>
          <w:szCs w:val="32"/>
        </w:rPr>
        <w:t>19. 建立失信提示预警机制，高效开展“信用修复”。</w:t>
      </w:r>
      <w:r>
        <w:rPr>
          <w:rFonts w:hint="default" w:ascii="Times New Roman" w:hAnsi="Times New Roman" w:eastAsia="仿宋_GB2312" w:cs="Times New Roman"/>
          <w:sz w:val="32"/>
          <w:szCs w:val="32"/>
        </w:rPr>
        <w:t>按照“谁处罚、谁认定、谁指导、谁整治”工作思路，开展失信企业信用修复工作。依托市企业信用云修复平台，建立市场主体失信提示和失信预警机制，对市场监管、纳税等领域违法失信市场主体实现信用修复自动提醒功能。完善“双线四步”闭环修复机制，持续开展信用修复培训和指导，服务行政相对人主动纠正违法失信行为，保障信用主体合法权益，全力为企业纾困解难，发挥信用建设对优化营商环境和服务实体经济发展的支撑作用。</w:t>
      </w:r>
      <w:r>
        <w:rPr>
          <w:rFonts w:hint="default" w:ascii="Times New Roman" w:hAnsi="Times New Roman" w:eastAsia="楷体_GB2312" w:cs="Times New Roman"/>
          <w:kern w:val="2"/>
          <w:sz w:val="32"/>
          <w:szCs w:val="32"/>
          <w:lang w:val="en-US" w:eastAsia="zh-CN" w:bidi="ar-SA"/>
        </w:rPr>
        <w:t>（牵头单位：发改委、市场监管局、税务局，责任单位：各相关执法单位）</w:t>
      </w:r>
    </w:p>
    <w:p>
      <w:pPr>
        <w:spacing w:line="600" w:lineRule="exact"/>
        <w:ind w:firstLine="640" w:firstLineChars="200"/>
        <w:rPr>
          <w:rFonts w:hint="default" w:ascii="Times New Roman" w:hAnsi="Times New Roman" w:eastAsia="楷体_GB2312" w:cs="Times New Roman"/>
          <w:kern w:val="2"/>
          <w:sz w:val="32"/>
          <w:szCs w:val="32"/>
          <w:lang w:val="en-US" w:eastAsia="zh-CN" w:bidi="ar-SA"/>
        </w:rPr>
      </w:pPr>
      <w:r>
        <w:rPr>
          <w:rFonts w:hint="default" w:ascii="Times New Roman" w:hAnsi="Times New Roman" w:eastAsia="楷体_GB2312" w:cs="Times New Roman"/>
          <w:sz w:val="32"/>
          <w:szCs w:val="32"/>
        </w:rPr>
        <w:t>20. 深化信用承诺制度，推行信用承诺“无纸化”签署，打造信用承诺信息闭环管理。</w:t>
      </w:r>
      <w:r>
        <w:rPr>
          <w:rFonts w:hint="default" w:ascii="Times New Roman" w:hAnsi="Times New Roman" w:eastAsia="仿宋_GB2312" w:cs="Times New Roman"/>
          <w:sz w:val="32"/>
          <w:szCs w:val="32"/>
        </w:rPr>
        <w:t>以强化承诺主体诚信责任意识，构建以信用承诺为引领的全生命周期监管体系为目的，建立健全与事中事后监管紧密结合的事前信用承诺推进机制。依托南通市信用信息承诺系统推行信用承诺“无纸化”签署，实现信用承诺事前、事中、事后全流程管理，构建“承诺—履约”闭环监管机制，营造“有诺必践”的良好信用环境。</w:t>
      </w:r>
      <w:r>
        <w:rPr>
          <w:rFonts w:hint="default" w:ascii="Times New Roman" w:hAnsi="Times New Roman" w:eastAsia="楷体_GB2312" w:cs="Times New Roman"/>
          <w:kern w:val="2"/>
          <w:sz w:val="32"/>
          <w:szCs w:val="32"/>
          <w:lang w:val="en-US" w:eastAsia="zh-CN" w:bidi="ar-SA"/>
        </w:rPr>
        <w:t>（牵头单位：发改委、行政审批局、司法局；责任单位：各相关部门，各镇〈区、街道〉）</w:t>
      </w:r>
    </w:p>
    <w:p>
      <w:pPr>
        <w:spacing w:line="590" w:lineRule="exact"/>
        <w:ind w:firstLine="640" w:firstLineChars="200"/>
        <w:rPr>
          <w:rFonts w:hint="default" w:ascii="Times New Roman" w:hAnsi="Times New Roman" w:eastAsia="黑体" w:cs="Times New Roman"/>
          <w:sz w:val="32"/>
          <w:szCs w:val="32"/>
        </w:rPr>
      </w:pPr>
      <w:r>
        <w:rPr>
          <w:rFonts w:hint="default" w:ascii="Times New Roman" w:hAnsi="Times New Roman" w:eastAsia="黑体" w:cs="Times New Roman"/>
          <w:sz w:val="32"/>
          <w:szCs w:val="32"/>
        </w:rPr>
        <w:t>三、营造高效便捷的政务环境（16条）</w:t>
      </w:r>
    </w:p>
    <w:p>
      <w:pPr>
        <w:spacing w:line="590" w:lineRule="exact"/>
        <w:ind w:firstLine="640" w:firstLineChars="200"/>
        <w:rPr>
          <w:rFonts w:hint="default" w:ascii="Times New Roman" w:hAnsi="Times New Roman" w:eastAsia="楷体_GB2312" w:cs="Times New Roman"/>
          <w:kern w:val="2"/>
          <w:sz w:val="32"/>
          <w:szCs w:val="32"/>
          <w:lang w:val="en-US" w:eastAsia="zh-CN" w:bidi="ar-SA"/>
        </w:rPr>
      </w:pPr>
      <w:r>
        <w:rPr>
          <w:rFonts w:hint="default" w:ascii="Times New Roman" w:hAnsi="Times New Roman" w:eastAsia="楷体_GB2312" w:cs="Times New Roman"/>
          <w:sz w:val="32"/>
          <w:szCs w:val="32"/>
        </w:rPr>
        <w:t>21. 深化证照“套餐办”，许可经营一体化推进。</w:t>
      </w:r>
      <w:r>
        <w:rPr>
          <w:rFonts w:hint="default" w:ascii="Times New Roman" w:hAnsi="Times New Roman" w:eastAsia="仿宋_GB2312" w:cs="Times New Roman"/>
          <w:sz w:val="32"/>
          <w:szCs w:val="32"/>
        </w:rPr>
        <w:t>推广运用“需求导向、自由组合”的“智能化、模块化”一体申办平台，便于市场主体一次了解行业准入、准营办理要求，根据业务经营范围自由组合申办，满足市场主体多样化需求，实现超市（便利店）、餐馆、熟食店、烘焙店、药店、健身房、美发店、美容店、汽修店、洗车店等10类准入准营事项“套餐办”。</w:t>
      </w:r>
      <w:r>
        <w:rPr>
          <w:rFonts w:hint="default" w:ascii="Times New Roman" w:hAnsi="Times New Roman" w:eastAsia="楷体_GB2312" w:cs="Times New Roman"/>
          <w:kern w:val="2"/>
          <w:sz w:val="32"/>
          <w:szCs w:val="32"/>
          <w:lang w:val="en-US" w:eastAsia="zh-CN" w:bidi="ar-SA"/>
        </w:rPr>
        <w:t>（牵头单位：行政审批局，责任单位：人社局、城管局、交通运输局、卫健委、市场监管局、教体局、消防救援大队、烟草专卖局）</w:t>
      </w:r>
    </w:p>
    <w:p>
      <w:pPr>
        <w:spacing w:line="590" w:lineRule="exact"/>
        <w:ind w:firstLine="640" w:firstLineChars="200"/>
        <w:rPr>
          <w:rFonts w:hint="default" w:ascii="Times New Roman" w:hAnsi="Times New Roman" w:eastAsia="楷体_GB2312" w:cs="Times New Roman"/>
          <w:kern w:val="2"/>
          <w:sz w:val="32"/>
          <w:szCs w:val="32"/>
          <w:lang w:val="en-US" w:eastAsia="zh-CN" w:bidi="ar-SA"/>
        </w:rPr>
      </w:pPr>
      <w:r>
        <w:rPr>
          <w:rFonts w:hint="default" w:ascii="Times New Roman" w:hAnsi="Times New Roman" w:eastAsia="楷体_GB2312" w:cs="Times New Roman"/>
          <w:sz w:val="32"/>
          <w:szCs w:val="32"/>
        </w:rPr>
        <w:t>22. 优化工程项目审批，推行工程项目“施工许可一证办理”。</w:t>
      </w:r>
      <w:r>
        <w:rPr>
          <w:rFonts w:hint="default" w:ascii="Times New Roman" w:hAnsi="Times New Roman" w:eastAsia="仿宋_GB2312" w:cs="Times New Roman"/>
          <w:kern w:val="0"/>
          <w:sz w:val="32"/>
          <w:szCs w:val="32"/>
        </w:rPr>
        <w:t>建立跨部门联动机制，以总承包合同为核心，在取得用地手续、工程规划许可证、首张施工图设计文件审查合格证（或审图合格意见），确定总承包施工单位后，即依法核发施工许可证。涉及《中华人民共和国消防法》规定消防设计审查的，依法办理。项目根据施工图审查通过进程自动增加施工许可范围，不再另行核发施工许可证。配套建立“容缺后补”监管机制，各类监管与施工进度同步，所有必需的技术、管理等资料在竣工验收前补齐即可。开发运用建设工程项目审批智能辅助服务系统，扩展系统的应用场景，提升系统的使用范围，进一步提高项目报批报建的便利度。</w:t>
      </w:r>
      <w:r>
        <w:rPr>
          <w:rFonts w:hint="default" w:ascii="Times New Roman" w:hAnsi="Times New Roman" w:eastAsia="楷体_GB2312" w:cs="Times New Roman"/>
          <w:kern w:val="2"/>
          <w:sz w:val="32"/>
          <w:szCs w:val="32"/>
          <w:lang w:val="en-US" w:eastAsia="zh-CN" w:bidi="ar-SA"/>
        </w:rPr>
        <w:t>（牵头单位：住建局、行政审批局）</w:t>
      </w:r>
    </w:p>
    <w:p>
      <w:pPr>
        <w:spacing w:line="590" w:lineRule="exact"/>
        <w:ind w:firstLine="640" w:firstLineChars="200"/>
        <w:rPr>
          <w:rFonts w:hint="default" w:ascii="Times New Roman" w:hAnsi="Times New Roman" w:eastAsia="楷体_GB2312" w:cs="Times New Roman"/>
          <w:kern w:val="2"/>
          <w:sz w:val="32"/>
          <w:szCs w:val="32"/>
          <w:lang w:val="en-US" w:eastAsia="zh-CN" w:bidi="ar-SA"/>
        </w:rPr>
      </w:pPr>
      <w:r>
        <w:rPr>
          <w:rFonts w:hint="default" w:ascii="Times New Roman" w:hAnsi="Times New Roman" w:eastAsia="楷体_GB2312" w:cs="Times New Roman"/>
          <w:sz w:val="32"/>
          <w:szCs w:val="32"/>
        </w:rPr>
        <w:t>23. 优化环评审批，强化总量保障。</w:t>
      </w:r>
      <w:r>
        <w:rPr>
          <w:rFonts w:hint="default" w:ascii="Times New Roman" w:hAnsi="Times New Roman" w:eastAsia="仿宋_GB2312" w:cs="Times New Roman"/>
          <w:bCs/>
          <w:sz w:val="32"/>
          <w:szCs w:val="32"/>
        </w:rPr>
        <w:t>建立省市重大项目信息服务卡制度，在项目前期提前介入服务，主动上门指导建设单位优化项目选址、生产工艺和生态环境保护设施、措施，把审批难题解决在前端。对规划环评与项目环评联动试点的园区内建设项目，简化报告书类建设项目编制内容，避免重复评价；工序不涉及产生重点污染物污染因子的报告表类建设项目实行告知承诺制，缩短审批时间；压降环评报告技术审查时限，提高审批效率。对规划环评处于有效期的省级以上园区内企业新、改、扩建的项目环评审批开辟“绿色通道”，在完成项目立项和环评报告编制后，提前对项目环评进行技术审查。优化全县排污总量指标管理，完善并规范总量收储和使用机制，优先保障重大项目总量资源供给。</w:t>
      </w:r>
      <w:r>
        <w:rPr>
          <w:rFonts w:hint="default" w:ascii="Times New Roman" w:hAnsi="Times New Roman" w:eastAsia="楷体_GB2312" w:cs="Times New Roman"/>
          <w:kern w:val="2"/>
          <w:sz w:val="32"/>
          <w:szCs w:val="32"/>
          <w:lang w:val="en-US" w:eastAsia="zh-CN" w:bidi="ar-SA"/>
        </w:rPr>
        <w:t>（牵头单位：如东生态环境局、行政审批局）</w:t>
      </w:r>
    </w:p>
    <w:p>
      <w:pPr>
        <w:spacing w:line="590" w:lineRule="exact"/>
        <w:ind w:firstLine="640" w:firstLineChars="200"/>
        <w:rPr>
          <w:rFonts w:hint="default" w:ascii="Times New Roman" w:hAnsi="Times New Roman" w:eastAsia="楷体_GB2312" w:cs="Times New Roman"/>
          <w:kern w:val="2"/>
          <w:sz w:val="32"/>
          <w:szCs w:val="32"/>
          <w:lang w:val="en-US" w:eastAsia="zh-CN" w:bidi="ar-SA"/>
        </w:rPr>
      </w:pPr>
      <w:r>
        <w:rPr>
          <w:rFonts w:hint="default" w:ascii="Times New Roman" w:hAnsi="Times New Roman" w:eastAsia="楷体_GB2312" w:cs="Times New Roman"/>
          <w:sz w:val="32"/>
          <w:szCs w:val="32"/>
        </w:rPr>
        <w:t>24. 强化自然资源要素保障。</w:t>
      </w:r>
      <w:r>
        <w:rPr>
          <w:rFonts w:hint="default" w:ascii="Times New Roman" w:hAnsi="Times New Roman" w:eastAsia="仿宋_GB2312" w:cs="Times New Roman"/>
          <w:bCs/>
          <w:sz w:val="32"/>
          <w:szCs w:val="32"/>
        </w:rPr>
        <w:t>以年度国家省市重大项目清单为依托，实施自然资源要素配置全链条前置服务，梳理建立年度用地用林用海报批“服务库”，建立内部重大项目服务保障协同机制，容缺受理、优化流程、同步联审，提高重大项目建设用地用林用海审批办理时效，推动重大项目快速落地，实现“应保尽保快保”。做好重点涉港项目报批跟踪服务，全流程梳理报批服务清单，提前介入提供跟踪服务，推动并联手续同</w:t>
      </w:r>
      <w:r>
        <w:rPr>
          <w:rFonts w:hint="default" w:ascii="Times New Roman" w:hAnsi="Times New Roman" w:eastAsia="仿宋_GB2312" w:cs="Times New Roman"/>
          <w:sz w:val="32"/>
          <w:szCs w:val="32"/>
        </w:rPr>
        <w:t>步报批，确保集约节约规范使用港口岸线。</w:t>
      </w:r>
      <w:r>
        <w:rPr>
          <w:rFonts w:hint="default" w:ascii="Times New Roman" w:hAnsi="Times New Roman" w:eastAsia="楷体_GB2312" w:cs="Times New Roman"/>
          <w:kern w:val="2"/>
          <w:sz w:val="32"/>
          <w:szCs w:val="32"/>
          <w:lang w:val="en-US" w:eastAsia="zh-CN" w:bidi="ar-SA"/>
        </w:rPr>
        <w:t>（牵头单位：自然资源和规划局、交通运输局）</w:t>
      </w:r>
    </w:p>
    <w:p>
      <w:pPr>
        <w:spacing w:line="590" w:lineRule="exact"/>
        <w:ind w:firstLine="640" w:firstLineChars="200"/>
        <w:rPr>
          <w:rFonts w:hint="default" w:ascii="Times New Roman" w:hAnsi="Times New Roman" w:eastAsia="楷体_GB2312" w:cs="Times New Roman"/>
          <w:kern w:val="2"/>
          <w:sz w:val="32"/>
          <w:szCs w:val="32"/>
          <w:lang w:val="en-US" w:eastAsia="zh-CN" w:bidi="ar-SA"/>
        </w:rPr>
      </w:pPr>
      <w:r>
        <w:rPr>
          <w:rFonts w:hint="default" w:ascii="Times New Roman" w:hAnsi="Times New Roman" w:eastAsia="楷体_GB2312" w:cs="Times New Roman"/>
          <w:sz w:val="32"/>
          <w:szCs w:val="32"/>
        </w:rPr>
        <w:t>25. 加强重大项目电力保障，全过程推进“电无忧”服务。</w:t>
      </w:r>
      <w:r>
        <w:rPr>
          <w:rFonts w:hint="default" w:ascii="Times New Roman" w:hAnsi="Times New Roman" w:eastAsia="仿宋_GB2312" w:cs="Times New Roman"/>
          <w:bCs/>
          <w:sz w:val="32"/>
          <w:szCs w:val="32"/>
        </w:rPr>
        <w:t>建立如东县重大项目电力保障协调工作组，畅通信息共享、强化部门协同，统筹协调全县范围内重大项目电力工程实施中的问题，跟踪、督促各项目按计划节点实施，进一步简化我县电力接入手续、缩短接电周期，全过程推进“电无忧”服务，保障重大项目快速落地。</w:t>
      </w:r>
      <w:r>
        <w:rPr>
          <w:rFonts w:hint="default" w:ascii="Times New Roman" w:hAnsi="Times New Roman" w:eastAsia="楷体_GB2312" w:cs="Times New Roman"/>
          <w:kern w:val="2"/>
          <w:sz w:val="32"/>
          <w:szCs w:val="32"/>
          <w:lang w:val="en-US" w:eastAsia="zh-CN" w:bidi="ar-SA"/>
        </w:rPr>
        <w:t>（牵头单位：发改委，责任单位：国网如东县供电公司、公安局、自然资源和规划局、住建局、行政审批局）</w:t>
      </w:r>
    </w:p>
    <w:p>
      <w:pPr>
        <w:spacing w:line="590" w:lineRule="exact"/>
        <w:ind w:firstLine="640" w:firstLineChars="200"/>
        <w:rPr>
          <w:rFonts w:hint="default" w:ascii="Times New Roman" w:hAnsi="Times New Roman" w:eastAsia="楷体_GB2312" w:cs="Times New Roman"/>
          <w:kern w:val="2"/>
          <w:sz w:val="32"/>
          <w:szCs w:val="32"/>
          <w:lang w:val="en-US" w:eastAsia="zh-CN" w:bidi="ar-SA"/>
        </w:rPr>
      </w:pPr>
      <w:r>
        <w:rPr>
          <w:rFonts w:hint="default" w:ascii="Times New Roman" w:hAnsi="Times New Roman" w:eastAsia="楷体_GB2312" w:cs="Times New Roman"/>
          <w:sz w:val="32"/>
          <w:szCs w:val="32"/>
        </w:rPr>
        <w:t>26. 深化进出口货物“提前申报”“两步申报”改革，扩大“船边直提”“抵港直装”适用范围。</w:t>
      </w:r>
      <w:r>
        <w:rPr>
          <w:rFonts w:hint="default" w:ascii="Times New Roman" w:hAnsi="Times New Roman" w:eastAsia="仿宋_GB2312" w:cs="Times New Roman"/>
          <w:sz w:val="32"/>
          <w:szCs w:val="32"/>
        </w:rPr>
        <w:t>积极回应企业诉求，将改革适用范围拓展到扩大（临时）开放口岸，将查验货物纳入试点范围，通过采取“嵌入式”查验和“顺势监管”模式，提高货物通关效率，进一步扩面提质，提升口岸集疏效能。</w:t>
      </w:r>
      <w:r>
        <w:rPr>
          <w:rFonts w:hint="default" w:ascii="Times New Roman" w:hAnsi="Times New Roman" w:eastAsia="楷体_GB2312" w:cs="Times New Roman"/>
          <w:kern w:val="2"/>
          <w:sz w:val="32"/>
          <w:szCs w:val="32"/>
          <w:lang w:val="en-US" w:eastAsia="zh-CN" w:bidi="ar-SA"/>
        </w:rPr>
        <w:t>（牵头单位：如东海关，责任单位：商务局）</w:t>
      </w:r>
    </w:p>
    <w:p>
      <w:pPr>
        <w:adjustRightInd w:val="0"/>
        <w:snapToGrid w:val="0"/>
        <w:spacing w:line="590" w:lineRule="exact"/>
        <w:ind w:firstLine="640" w:firstLineChars="200"/>
        <w:rPr>
          <w:rFonts w:hint="default" w:ascii="Times New Roman" w:hAnsi="Times New Roman" w:eastAsia="楷体_GB2312" w:cs="Times New Roman"/>
          <w:kern w:val="2"/>
          <w:sz w:val="32"/>
          <w:szCs w:val="32"/>
          <w:lang w:val="en-US" w:eastAsia="zh-CN" w:bidi="ar-SA"/>
        </w:rPr>
      </w:pPr>
      <w:r>
        <w:rPr>
          <w:rFonts w:hint="default" w:ascii="Times New Roman" w:hAnsi="Times New Roman" w:eastAsia="楷体_GB2312" w:cs="Times New Roman"/>
          <w:sz w:val="32"/>
          <w:szCs w:val="32"/>
        </w:rPr>
        <w:t>27. 融入长三角海事一体化，协助实施“不停航办证”服务。</w:t>
      </w:r>
      <w:r>
        <w:rPr>
          <w:rFonts w:hint="default" w:ascii="Times New Roman" w:hAnsi="Times New Roman" w:eastAsia="仿宋_GB2312" w:cs="Times New Roman"/>
          <w:sz w:val="32"/>
          <w:szCs w:val="32"/>
        </w:rPr>
        <w:t>加强长三角海事监管服务协作，为如东船企新造海船所有权登记、国籍登记、出海试航、交船提供全方位咨询指导和安全保障。主动对接协调江浙沪海事部门，对长三角地区如东籍海船买卖、变更等事项，协助实施“不停航办证”服务，为全县6家海船船舶修造企业、50余家船舶公司打造全产业优质海商环境。</w:t>
      </w:r>
      <w:r>
        <w:rPr>
          <w:rFonts w:hint="default" w:ascii="Times New Roman" w:hAnsi="Times New Roman" w:eastAsia="楷体_GB2312" w:cs="Times New Roman"/>
          <w:kern w:val="2"/>
          <w:sz w:val="32"/>
          <w:szCs w:val="32"/>
          <w:lang w:val="en-US" w:eastAsia="zh-CN" w:bidi="ar-SA"/>
        </w:rPr>
        <w:t>（牵头单位：如东海事处）</w:t>
      </w:r>
    </w:p>
    <w:p>
      <w:pPr>
        <w:spacing w:line="590" w:lineRule="exact"/>
        <w:ind w:firstLine="640" w:firstLineChars="200"/>
        <w:rPr>
          <w:rFonts w:hint="default" w:ascii="Times New Roman" w:hAnsi="Times New Roman" w:eastAsia="楷体_GB2312" w:cs="Times New Roman"/>
          <w:kern w:val="2"/>
          <w:sz w:val="32"/>
          <w:szCs w:val="32"/>
          <w:lang w:val="en-US" w:eastAsia="zh-CN" w:bidi="ar-SA"/>
        </w:rPr>
      </w:pPr>
      <w:r>
        <w:rPr>
          <w:rFonts w:hint="default" w:ascii="Times New Roman" w:hAnsi="Times New Roman" w:eastAsia="楷体_GB2312" w:cs="Times New Roman"/>
          <w:sz w:val="32"/>
          <w:szCs w:val="32"/>
        </w:rPr>
        <w:t>28. 深化水上“大交管”建设，实施重点船舶“快进快出”。</w:t>
      </w:r>
      <w:r>
        <w:rPr>
          <w:rFonts w:hint="default" w:ascii="Times New Roman" w:hAnsi="Times New Roman" w:eastAsia="仿宋_GB2312" w:cs="Times New Roman"/>
          <w:sz w:val="32"/>
          <w:szCs w:val="32"/>
        </w:rPr>
        <w:t>联动南通沿海（通州湾）交管中心和港航调度中心，充分应用沿海港航调度一体化智能平台，实现如东沿海港口码头船舶进出综合调度全覆盖。强化“绿色通道”机制，促进船舶航行计划和港口生产调度、引航调度有机融合，实施进入如东洋口港LNG船、液化危险品船“快进快出”，减少锚泊等待时间，进一步研究并积极推进洋口港南北航道夜航常态化。</w:t>
      </w:r>
      <w:r>
        <w:rPr>
          <w:rFonts w:hint="default" w:ascii="Times New Roman" w:hAnsi="Times New Roman" w:eastAsia="楷体_GB2312" w:cs="Times New Roman"/>
          <w:kern w:val="2"/>
          <w:sz w:val="32"/>
          <w:szCs w:val="32"/>
          <w:lang w:val="en-US" w:eastAsia="zh-CN" w:bidi="ar-SA"/>
        </w:rPr>
        <w:t>（牵头单位：如东海事处，责任单位：交通运输局、洋口港经济开发区）</w:t>
      </w:r>
    </w:p>
    <w:p>
      <w:pPr>
        <w:spacing w:line="590" w:lineRule="exact"/>
        <w:ind w:firstLine="640" w:firstLineChars="200"/>
        <w:rPr>
          <w:rFonts w:hint="default" w:ascii="Times New Roman" w:hAnsi="Times New Roman" w:eastAsia="楷体_GB2312" w:cs="Times New Roman"/>
          <w:kern w:val="2"/>
          <w:sz w:val="32"/>
          <w:szCs w:val="32"/>
          <w:lang w:val="en-US" w:eastAsia="zh-CN" w:bidi="ar-SA"/>
        </w:rPr>
      </w:pPr>
      <w:r>
        <w:rPr>
          <w:rFonts w:hint="default" w:ascii="Times New Roman" w:hAnsi="Times New Roman" w:eastAsia="楷体_GB2312" w:cs="Times New Roman"/>
          <w:sz w:val="32"/>
          <w:szCs w:val="32"/>
        </w:rPr>
        <w:t>29. 企业数字证书“一证通行”，登记档案“查立得、得即用”。</w:t>
      </w:r>
      <w:r>
        <w:rPr>
          <w:rFonts w:hint="default" w:ascii="Times New Roman" w:hAnsi="Times New Roman" w:eastAsia="仿宋_GB2312" w:cs="Times New Roman"/>
          <w:sz w:val="32"/>
          <w:szCs w:val="32"/>
        </w:rPr>
        <w:t>依托南通市电子印章平台数字证书互签互验功能，整合人社、医保、公积金等领域数字证书，为企业提供线上统一数字认证和签章服务，实现企业一张证书贯通办事，减轻企业负担。将市场主体的登记档案通过数字化转换后进行电子化保存，通过开发外网档案查询系统，改进企业档案查询方式，依托“电子营业执照”统一身份认证登录，实现登记电子档案全程线上查询、下载、打印，为企业融资、招投标、上市等经营活动提供便利。</w:t>
      </w:r>
      <w:r>
        <w:rPr>
          <w:rFonts w:hint="default" w:ascii="Times New Roman" w:hAnsi="Times New Roman" w:eastAsia="楷体_GB2312" w:cs="Times New Roman"/>
          <w:kern w:val="2"/>
          <w:sz w:val="32"/>
          <w:szCs w:val="32"/>
          <w:lang w:val="en-US" w:eastAsia="zh-CN" w:bidi="ar-SA"/>
        </w:rPr>
        <w:t>（牵头单位：行政审批局，责任单位：市场监管局、人社局、医疗保障局、住房公积金如东管理部、县域社会治理现代化指挥中心）</w:t>
      </w:r>
    </w:p>
    <w:p>
      <w:pPr>
        <w:spacing w:line="590" w:lineRule="exact"/>
        <w:ind w:firstLine="640" w:firstLineChars="200"/>
        <w:rPr>
          <w:rFonts w:hint="default" w:ascii="Times New Roman" w:hAnsi="Times New Roman" w:eastAsia="楷体_GB2312" w:cs="Times New Roman"/>
          <w:kern w:val="2"/>
          <w:sz w:val="32"/>
          <w:szCs w:val="32"/>
          <w:lang w:val="en-US" w:eastAsia="zh-CN" w:bidi="ar-SA"/>
        </w:rPr>
      </w:pPr>
      <w:r>
        <w:rPr>
          <w:rFonts w:hint="default" w:ascii="Times New Roman" w:hAnsi="Times New Roman" w:eastAsia="楷体_GB2312" w:cs="Times New Roman"/>
          <w:sz w:val="32"/>
          <w:szCs w:val="32"/>
        </w:rPr>
        <w:t>30. 推广数字人民币应用。</w:t>
      </w:r>
      <w:r>
        <w:rPr>
          <w:rFonts w:hint="default" w:ascii="Times New Roman" w:hAnsi="Times New Roman" w:eastAsia="仿宋_GB2312" w:cs="Times New Roman"/>
          <w:sz w:val="32"/>
          <w:szCs w:val="32"/>
        </w:rPr>
        <w:t>全年开通数字人民币8万个，交易金额1.6亿元。不断提升企业和个人支付结算便利化水平。</w:t>
      </w:r>
      <w:r>
        <w:rPr>
          <w:rFonts w:hint="default" w:ascii="Times New Roman" w:hAnsi="Times New Roman" w:eastAsia="楷体_GB2312" w:cs="Times New Roman"/>
          <w:kern w:val="2"/>
          <w:sz w:val="32"/>
          <w:szCs w:val="32"/>
          <w:lang w:val="en-US" w:eastAsia="zh-CN" w:bidi="ar-SA"/>
        </w:rPr>
        <w:t>（牵头单位：人民银行如东县支行）</w:t>
      </w:r>
    </w:p>
    <w:p>
      <w:pPr>
        <w:spacing w:line="590" w:lineRule="exact"/>
        <w:ind w:firstLine="640" w:firstLineChars="200"/>
        <w:rPr>
          <w:rFonts w:hint="default" w:ascii="Times New Roman" w:hAnsi="Times New Roman" w:eastAsia="楷体_GB2312" w:cs="Times New Roman"/>
          <w:kern w:val="2"/>
          <w:sz w:val="32"/>
          <w:szCs w:val="32"/>
          <w:lang w:val="en-US" w:eastAsia="zh-CN" w:bidi="ar-SA"/>
        </w:rPr>
      </w:pPr>
      <w:r>
        <w:rPr>
          <w:rFonts w:hint="default" w:ascii="Times New Roman" w:hAnsi="Times New Roman" w:eastAsia="楷体_GB2312" w:cs="Times New Roman"/>
          <w:sz w:val="32"/>
          <w:szCs w:val="32"/>
        </w:rPr>
        <w:t>31. 深化电子证照归集应用，推进数据资源共享。</w:t>
      </w:r>
      <w:r>
        <w:rPr>
          <w:rFonts w:hint="default" w:ascii="Times New Roman" w:hAnsi="Times New Roman" w:eastAsia="仿宋_GB2312" w:cs="Times New Roman"/>
          <w:sz w:val="32"/>
          <w:szCs w:val="32"/>
        </w:rPr>
        <w:t>不断提升电子证照归集水平，健全电子证照归集责任清单、共享清单，建立医疗卫生、食品安全、生态环境、工程审批等领域数据动态更新机制，推动身份证、户口簿、营业执照、不动产权证等证照在审批服务领域的共享应用，建立电子证照数据异议处理机制，对运用过程中发现的异议及时联系登记主管部门核实校正。持续提升电子证照共享服务应用能力，最大限度减少企业群众办事所需材料。</w:t>
      </w:r>
      <w:r>
        <w:rPr>
          <w:rFonts w:hint="default" w:ascii="Times New Roman" w:hAnsi="Times New Roman" w:eastAsia="楷体_GB2312" w:cs="Times New Roman"/>
          <w:kern w:val="2"/>
          <w:sz w:val="32"/>
          <w:szCs w:val="32"/>
          <w:lang w:val="en-US" w:eastAsia="zh-CN" w:bidi="ar-SA"/>
        </w:rPr>
        <w:t>（牵头单位：县域社会治理现代化指挥中心、行政审批局等相关部门和单位）</w:t>
      </w:r>
    </w:p>
    <w:p>
      <w:pPr>
        <w:spacing w:line="590" w:lineRule="exact"/>
        <w:ind w:firstLine="640" w:firstLineChars="200"/>
        <w:rPr>
          <w:rFonts w:hint="default" w:ascii="Times New Roman" w:hAnsi="Times New Roman" w:eastAsia="楷体_GB2312" w:cs="Times New Roman"/>
          <w:kern w:val="2"/>
          <w:sz w:val="32"/>
          <w:szCs w:val="32"/>
          <w:lang w:val="en-US" w:eastAsia="zh-CN" w:bidi="ar-SA"/>
        </w:rPr>
      </w:pPr>
      <w:r>
        <w:rPr>
          <w:rFonts w:hint="default" w:ascii="Times New Roman" w:hAnsi="Times New Roman" w:eastAsia="楷体_GB2312" w:cs="Times New Roman"/>
          <w:sz w:val="32"/>
          <w:szCs w:val="32"/>
        </w:rPr>
        <w:t>32. 实现不动产抵押登记“网上办”“带押过户”常态化。</w:t>
      </w:r>
      <w:r>
        <w:rPr>
          <w:rFonts w:hint="default" w:ascii="Times New Roman" w:hAnsi="Times New Roman" w:eastAsia="仿宋_GB2312" w:cs="Times New Roman"/>
          <w:sz w:val="32"/>
          <w:szCs w:val="32"/>
        </w:rPr>
        <w:t>充分运用“线上苏小登·南通e证通”平台，推广实行商品房转移登记、抵押登记、预告登记、存量房转移登记、首次登记、注销登记等业务的线上服务，提高不动产抵押登记线上办件率。持续开辟不动产登记银行便民服务网点，依托“线上苏小登·南通e证通”平台，常态化开展抵押业务线上推送，帮助业务申请人实现银行贷款与不动产抵押无缝衔接。会同县地方金融监督管理局、中国人民银行如东县支行等部门建立联合会商机制，全面梳理“带押过户”实施流程，按照“一次申请、合并审核、同步办结”的要求，共同规范推进如东县存量房“带押过户”常态化。</w:t>
      </w:r>
      <w:r>
        <w:rPr>
          <w:rFonts w:hint="default" w:ascii="Times New Roman" w:hAnsi="Times New Roman" w:eastAsia="楷体_GB2312" w:cs="Times New Roman"/>
          <w:kern w:val="2"/>
          <w:sz w:val="32"/>
          <w:szCs w:val="32"/>
          <w:lang w:val="en-US" w:eastAsia="zh-CN" w:bidi="ar-SA"/>
        </w:rPr>
        <w:t>（牵头单位：自然资源和规划局、住建局、地方金融监管局、人民银行如东县支行）</w:t>
      </w:r>
    </w:p>
    <w:p>
      <w:pPr>
        <w:spacing w:line="590" w:lineRule="exact"/>
        <w:ind w:firstLine="640" w:firstLineChars="200"/>
        <w:rPr>
          <w:rFonts w:hint="default" w:ascii="Times New Roman" w:hAnsi="Times New Roman" w:eastAsia="楷体_GB2312" w:cs="Times New Roman"/>
          <w:kern w:val="2"/>
          <w:sz w:val="32"/>
          <w:szCs w:val="32"/>
          <w:lang w:val="en-US" w:eastAsia="zh-CN" w:bidi="ar-SA"/>
        </w:rPr>
      </w:pPr>
      <w:r>
        <w:rPr>
          <w:rFonts w:hint="default" w:ascii="Times New Roman" w:hAnsi="Times New Roman" w:eastAsia="楷体_GB2312" w:cs="Times New Roman"/>
          <w:sz w:val="32"/>
          <w:szCs w:val="32"/>
        </w:rPr>
        <w:t>33. 持续优化“交房即发证”和转移登记“一人受理”。</w:t>
      </w:r>
      <w:r>
        <w:rPr>
          <w:rFonts w:hint="default" w:ascii="Times New Roman" w:hAnsi="Times New Roman" w:eastAsia="仿宋_GB2312" w:cs="Times New Roman"/>
          <w:sz w:val="32"/>
          <w:szCs w:val="32"/>
        </w:rPr>
        <w:t>通过信息共享方式，获取带签名和印章的生效电子版商品房销售合同，引导业主进行转移登记在线申请、在线缴税缴费，采取“一次收缴、后台分账”税费同缴方式，常态化实现在交房现场“掌上申请、一网通办、线上缴税（费）、当场拿证”。进一步优化商品房、存量房转移登记办理流程，通过部门间信息共享，推动线下登记窗口实行综合收件、无差别受理。</w:t>
      </w:r>
      <w:r>
        <w:rPr>
          <w:rFonts w:hint="default" w:ascii="Times New Roman" w:hAnsi="Times New Roman" w:eastAsia="楷体_GB2312" w:cs="Times New Roman"/>
          <w:kern w:val="2"/>
          <w:sz w:val="32"/>
          <w:szCs w:val="32"/>
          <w:lang w:val="en-US" w:eastAsia="zh-CN" w:bidi="ar-SA"/>
        </w:rPr>
        <w:t>（牵头单位：自然资源和规划局、住建局、税务局、财政局、县域社会治理现代化指挥中心、人民银行如东县支行）</w:t>
      </w:r>
    </w:p>
    <w:p>
      <w:pPr>
        <w:spacing w:line="590" w:lineRule="exact"/>
        <w:ind w:firstLine="640" w:firstLineChars="200"/>
        <w:rPr>
          <w:rFonts w:hint="default" w:ascii="Times New Roman" w:hAnsi="Times New Roman" w:eastAsia="楷体_GB2312" w:cs="Times New Roman"/>
          <w:kern w:val="2"/>
          <w:sz w:val="32"/>
          <w:szCs w:val="32"/>
          <w:lang w:val="en-US" w:eastAsia="zh-CN" w:bidi="ar-SA"/>
        </w:rPr>
      </w:pPr>
      <w:r>
        <w:rPr>
          <w:rFonts w:hint="default" w:ascii="Times New Roman" w:hAnsi="Times New Roman" w:eastAsia="楷体_GB2312" w:cs="Times New Roman"/>
          <w:sz w:val="32"/>
          <w:szCs w:val="32"/>
        </w:rPr>
        <w:t>34. 开展“便民办税春风行动”。</w:t>
      </w:r>
      <w:r>
        <w:rPr>
          <w:rFonts w:hint="default" w:ascii="Times New Roman" w:hAnsi="Times New Roman" w:eastAsia="仿宋_GB2312" w:cs="Times New Roman"/>
          <w:sz w:val="32"/>
          <w:szCs w:val="32"/>
        </w:rPr>
        <w:t>自2023年4月1日起，简化变更登记操作流程，纳税人在市场监管部门依法办理变更登记后，无需向税务机关报告变更信息，税务机关根据市场监管部门共享的变更登记信息自动同步予以变更。升级环保税在线申报，对印染纺织、建材建筑、金属加工等行业自动生成排污系数，简化填表方式。推行增值税预填报功能，系统自动采集生成报表数据，减轻纳税人申报负担。推行增值税往期更正申报预填报功能，采用引导式界面，大幅压缩填报时间。</w:t>
      </w:r>
      <w:r>
        <w:rPr>
          <w:rFonts w:hint="default" w:ascii="Times New Roman" w:hAnsi="Times New Roman" w:eastAsia="楷体_GB2312" w:cs="Times New Roman"/>
          <w:kern w:val="2"/>
          <w:sz w:val="32"/>
          <w:szCs w:val="32"/>
          <w:lang w:val="en-US" w:eastAsia="zh-CN" w:bidi="ar-SA"/>
        </w:rPr>
        <w:t>（牵头单位：税务局）</w:t>
      </w:r>
    </w:p>
    <w:p>
      <w:pPr>
        <w:spacing w:line="590" w:lineRule="exact"/>
        <w:ind w:firstLine="640" w:firstLineChars="200"/>
        <w:rPr>
          <w:rFonts w:hint="default" w:ascii="Times New Roman" w:hAnsi="Times New Roman" w:eastAsia="楷体_GB2312" w:cs="Times New Roman"/>
          <w:kern w:val="2"/>
          <w:sz w:val="32"/>
          <w:szCs w:val="32"/>
          <w:lang w:val="en-US" w:eastAsia="zh-CN" w:bidi="ar-SA"/>
        </w:rPr>
      </w:pPr>
      <w:r>
        <w:rPr>
          <w:rFonts w:hint="default" w:ascii="Times New Roman" w:hAnsi="Times New Roman" w:eastAsia="楷体_GB2312" w:cs="Times New Roman"/>
          <w:sz w:val="32"/>
          <w:szCs w:val="32"/>
        </w:rPr>
        <w:t>35. 扩展便民利企移动应用，更好实现“掌上办”。</w:t>
      </w:r>
      <w:r>
        <w:rPr>
          <w:rFonts w:hint="default" w:ascii="Times New Roman" w:hAnsi="Times New Roman" w:eastAsia="仿宋_GB2312" w:cs="Times New Roman"/>
          <w:sz w:val="32"/>
          <w:szCs w:val="32"/>
        </w:rPr>
        <w:t>依托“南通百通APP”等，推进人社、医保、商务、质检等移动应用服务进一步整合。根据省移动端应用标准清单，加快推进移动应用开发接入“苏服办APP”。推动南通公安便民服务“一张图”应用，推动与生产经营密切相关的服务事项实现掌上办。</w:t>
      </w:r>
      <w:r>
        <w:rPr>
          <w:rFonts w:hint="default" w:ascii="Times New Roman" w:hAnsi="Times New Roman" w:eastAsia="楷体_GB2312" w:cs="Times New Roman"/>
          <w:kern w:val="2"/>
          <w:sz w:val="32"/>
          <w:szCs w:val="32"/>
          <w:lang w:val="en-US" w:eastAsia="zh-CN" w:bidi="ar-SA"/>
        </w:rPr>
        <w:t>（牵头单位：县域社会治理现代化指挥中心、行政审批局、公安局、人社局、医疗保障局，各相关部门）</w:t>
      </w:r>
    </w:p>
    <w:p>
      <w:pPr>
        <w:spacing w:line="590" w:lineRule="exact"/>
        <w:ind w:firstLine="640" w:firstLineChars="200"/>
        <w:rPr>
          <w:rFonts w:hint="default" w:ascii="Times New Roman" w:hAnsi="Times New Roman" w:eastAsia="楷体_GB2312" w:cs="Times New Roman"/>
          <w:kern w:val="2"/>
          <w:sz w:val="32"/>
          <w:szCs w:val="32"/>
          <w:lang w:val="en-US" w:eastAsia="zh-CN" w:bidi="ar-SA"/>
        </w:rPr>
      </w:pPr>
      <w:r>
        <w:rPr>
          <w:rFonts w:hint="default" w:ascii="Times New Roman" w:hAnsi="Times New Roman" w:eastAsia="楷体_GB2312" w:cs="Times New Roman"/>
          <w:sz w:val="32"/>
          <w:szCs w:val="32"/>
        </w:rPr>
        <w:t>36. 巩固提升项目推进“五项机制”。</w:t>
      </w:r>
      <w:r>
        <w:rPr>
          <w:rFonts w:hint="default" w:ascii="Times New Roman" w:hAnsi="Times New Roman" w:eastAsia="仿宋_GB2312" w:cs="Times New Roman"/>
          <w:sz w:val="32"/>
          <w:szCs w:val="32"/>
        </w:rPr>
        <w:t>健全完善项目推进“主要领导直接联系省市重大项目”“重大项目专班服务”“季度计划开工及现场督查”“难点问题月度会商会办”“产业项目季度及年度考评”等五项机制，每十天调度一次项目进展信息，每月汇总项目落户、开工瓶颈，保障项目早开工、快推进。参照颁布县投资及项目建设争先晋位“龙虎榜”，并在县主流媒体发布，持续营造全县项目建设比学赶超的浓厚氛围。</w:t>
      </w:r>
      <w:r>
        <w:rPr>
          <w:rFonts w:hint="default" w:ascii="Times New Roman" w:hAnsi="Times New Roman" w:eastAsia="楷体_GB2312" w:cs="Times New Roman"/>
          <w:kern w:val="2"/>
          <w:sz w:val="32"/>
          <w:szCs w:val="32"/>
          <w:lang w:val="en-US" w:eastAsia="zh-CN" w:bidi="ar-SA"/>
        </w:rPr>
        <w:t>（牵头单位：发改委，责任单位：各相关部门，各镇〈区、街道〉）</w:t>
      </w:r>
    </w:p>
    <w:p>
      <w:pPr>
        <w:spacing w:line="590" w:lineRule="exact"/>
        <w:ind w:firstLine="640" w:firstLineChars="200"/>
        <w:rPr>
          <w:rFonts w:hint="default" w:ascii="Times New Roman" w:hAnsi="Times New Roman" w:eastAsia="黑体" w:cs="Times New Roman"/>
          <w:sz w:val="32"/>
          <w:szCs w:val="32"/>
        </w:rPr>
      </w:pPr>
      <w:r>
        <w:rPr>
          <w:rFonts w:hint="default" w:ascii="Times New Roman" w:hAnsi="Times New Roman" w:eastAsia="黑体" w:cs="Times New Roman"/>
          <w:sz w:val="32"/>
          <w:szCs w:val="32"/>
        </w:rPr>
        <w:t>四、营造公正透明的法治环境（13条）</w:t>
      </w:r>
    </w:p>
    <w:p>
      <w:pPr>
        <w:spacing w:line="590" w:lineRule="exact"/>
        <w:ind w:firstLine="640" w:firstLineChars="200"/>
        <w:rPr>
          <w:rFonts w:hint="default" w:ascii="Times New Roman" w:hAnsi="Times New Roman" w:eastAsia="楷体_GB2312" w:cs="Times New Roman"/>
          <w:kern w:val="2"/>
          <w:sz w:val="32"/>
          <w:szCs w:val="32"/>
          <w:lang w:val="en-US" w:eastAsia="zh-CN" w:bidi="ar-SA"/>
        </w:rPr>
      </w:pPr>
      <w:r>
        <w:rPr>
          <w:rFonts w:hint="default" w:ascii="Times New Roman" w:hAnsi="Times New Roman" w:eastAsia="楷体_GB2312" w:cs="Times New Roman"/>
          <w:sz w:val="32"/>
          <w:szCs w:val="32"/>
        </w:rPr>
        <w:t>37. 实施包容审慎监管，推行“五张清单”。</w:t>
      </w:r>
      <w:r>
        <w:rPr>
          <w:rFonts w:hint="default" w:ascii="Times New Roman" w:hAnsi="Times New Roman" w:eastAsia="仿宋_GB2312" w:cs="Times New Roman"/>
          <w:sz w:val="32"/>
          <w:szCs w:val="32"/>
        </w:rPr>
        <w:t>对非重点监管行业、企业，按照“不触发、不监管”原则，推行“触发式”监管机制，切实做到无事不扰。贯彻落实市场监管领域轻微违法首违不罚、免予处罚、减轻处罚、不予行政强制措施“四张清单”和广告、商标、计量等轻微违法从轻处罚“第五张清单”。加强包容审慎执法和免罚轻罚清单实施培训，切实提升执法规范化水平。创新开展行政裁量基准和免罚轻罚清单专项监督和联合监督，综合运用信息化、智能化监管手段，开展非现场执法、精准执法，扩大柔性执法的覆盖面、辐射面，以监督效能促进执法质量提升。</w:t>
      </w:r>
      <w:r>
        <w:rPr>
          <w:rFonts w:hint="default" w:ascii="Times New Roman" w:hAnsi="Times New Roman" w:eastAsia="楷体_GB2312" w:cs="Times New Roman"/>
          <w:kern w:val="2"/>
          <w:sz w:val="32"/>
          <w:szCs w:val="32"/>
          <w:lang w:val="en-US" w:eastAsia="zh-CN" w:bidi="ar-SA"/>
        </w:rPr>
        <w:t>（牵头单位：市场监管局、司法局）</w:t>
      </w:r>
    </w:p>
    <w:p>
      <w:pPr>
        <w:spacing w:line="590" w:lineRule="exact"/>
        <w:ind w:firstLine="640" w:firstLineChars="200"/>
        <w:rPr>
          <w:rFonts w:hint="default" w:ascii="Times New Roman" w:hAnsi="Times New Roman" w:eastAsia="楷体_GB2312" w:cs="Times New Roman"/>
          <w:kern w:val="2"/>
          <w:sz w:val="32"/>
          <w:szCs w:val="32"/>
          <w:lang w:val="en-US" w:eastAsia="zh-CN" w:bidi="ar-SA"/>
        </w:rPr>
      </w:pPr>
      <w:r>
        <w:rPr>
          <w:rFonts w:hint="default" w:ascii="Times New Roman" w:hAnsi="Times New Roman" w:eastAsia="楷体_GB2312" w:cs="Times New Roman"/>
          <w:sz w:val="32"/>
          <w:szCs w:val="32"/>
        </w:rPr>
        <w:t>38. 优化企业环境监管方式。</w:t>
      </w:r>
      <w:r>
        <w:rPr>
          <w:rFonts w:hint="default" w:ascii="Times New Roman" w:hAnsi="Times New Roman" w:eastAsia="仿宋_GB2312" w:cs="Times New Roman"/>
          <w:sz w:val="32"/>
          <w:szCs w:val="32"/>
        </w:rPr>
        <w:t>坚持“无事不扰”，充分推行通过自动监控、视频及用电用能监控、许可证管理信息平台、走航车、无人机等手段开展非现场监管方式，对纳入非现场监管对象名录的排污单位实施动态管理；对正面清单企业，原则上以非现场监管为主。推行重污染天气应急管控豁免制度，建立重污染天气应急管控停限产豁免企业清单，实施差异化管控，符合条件的企业、工地纳入豁免清单，免予执行应急停限产等管控措施。建立重点优质企业“体检”制度，会同县环境保护联合会，针对企业需求个性化提供环保服务和帮助。</w:t>
      </w:r>
      <w:r>
        <w:rPr>
          <w:rFonts w:hint="default" w:ascii="Times New Roman" w:hAnsi="Times New Roman" w:eastAsia="楷体_GB2312" w:cs="Times New Roman"/>
          <w:kern w:val="2"/>
          <w:sz w:val="32"/>
          <w:szCs w:val="32"/>
          <w:lang w:val="en-US" w:eastAsia="zh-CN" w:bidi="ar-SA"/>
        </w:rPr>
        <w:t>（牵头单位：如东生态环境局）</w:t>
      </w:r>
    </w:p>
    <w:p>
      <w:pPr>
        <w:spacing w:line="590" w:lineRule="exact"/>
        <w:ind w:firstLine="640" w:firstLineChars="200"/>
        <w:rPr>
          <w:rFonts w:hint="default" w:ascii="Times New Roman" w:hAnsi="Times New Roman" w:eastAsia="楷体_GB2312" w:cs="Times New Roman"/>
          <w:kern w:val="2"/>
          <w:sz w:val="32"/>
          <w:szCs w:val="32"/>
          <w:lang w:val="en-US" w:eastAsia="zh-CN" w:bidi="ar-SA"/>
        </w:rPr>
      </w:pPr>
      <w:r>
        <w:rPr>
          <w:rFonts w:hint="default" w:ascii="Times New Roman" w:hAnsi="Times New Roman" w:eastAsia="楷体_GB2312" w:cs="Times New Roman"/>
          <w:sz w:val="32"/>
          <w:szCs w:val="32"/>
        </w:rPr>
        <w:t>39. 推进安全生产执法“三会一单”工作法。</w:t>
      </w:r>
      <w:r>
        <w:rPr>
          <w:rFonts w:hint="default" w:ascii="Times New Roman" w:hAnsi="Times New Roman" w:eastAsia="仿宋_GB2312" w:cs="Times New Roman"/>
          <w:sz w:val="32"/>
          <w:szCs w:val="32"/>
        </w:rPr>
        <w:t>推行执法前召开执法告知会，告知执法检查程序、检查内容、处罚依据等，发放执法事项清单；执法中召开现场启动会，介绍执法检查的目的、执法检查人员组成、执法检查内容等；执法后召开警示教育会，通报已执法情况、典型案例等，充分发挥警示教育作用，指导企业及时自查自纠，认真整改同类问题隐患。推行线上数据巡查监测，推进“线上预警监测+线下精准执法”非现场监管，提升线上巡查比例，营造“无事不扰，违法必究”的环境。</w:t>
      </w:r>
      <w:r>
        <w:rPr>
          <w:rFonts w:hint="default" w:ascii="Times New Roman" w:hAnsi="Times New Roman" w:eastAsia="楷体_GB2312" w:cs="Times New Roman"/>
          <w:kern w:val="2"/>
          <w:sz w:val="32"/>
          <w:szCs w:val="32"/>
          <w:lang w:val="en-US" w:eastAsia="zh-CN" w:bidi="ar-SA"/>
        </w:rPr>
        <w:t>（牵头单位：应急管理局）</w:t>
      </w:r>
    </w:p>
    <w:p>
      <w:pPr>
        <w:spacing w:line="590" w:lineRule="exact"/>
        <w:ind w:firstLine="640" w:firstLineChars="200"/>
        <w:rPr>
          <w:rFonts w:hint="default" w:ascii="Times New Roman" w:hAnsi="Times New Roman" w:eastAsia="楷体_GB2312" w:cs="Times New Roman"/>
          <w:kern w:val="2"/>
          <w:sz w:val="32"/>
          <w:szCs w:val="32"/>
          <w:lang w:val="en-US" w:eastAsia="zh-CN" w:bidi="ar-SA"/>
        </w:rPr>
      </w:pPr>
      <w:r>
        <w:rPr>
          <w:rFonts w:hint="default" w:ascii="Times New Roman" w:hAnsi="Times New Roman" w:eastAsia="楷体_GB2312" w:cs="Times New Roman"/>
          <w:sz w:val="32"/>
          <w:szCs w:val="32"/>
        </w:rPr>
        <w:t>40. 优化涉企公共法律服务供给。</w:t>
      </w:r>
      <w:r>
        <w:rPr>
          <w:rFonts w:hint="default" w:ascii="Times New Roman" w:hAnsi="Times New Roman" w:eastAsia="仿宋_GB2312" w:cs="Times New Roman"/>
          <w:sz w:val="32"/>
          <w:szCs w:val="32"/>
        </w:rPr>
        <w:t>加强“法企对接”，建立规上企业法治副总、法律明白人制度，开展中小微企业“微光计划”、法律服务“微诊断”等活动，推进企业法律顾问全覆盖；在产业园区等企业集聚区域建立企业公共法律服务驿站，通过设立企业服务专席，开展法律讲座、法治体检、司法调解等活动方式，提升涉企服务能力。落实“产业链+法律服务”“万所联万会”机制，探索公司律师和专职律师共同提供法律服务路径，帮助企业完善管理制度、优化治理结构，构建和谐劳动关系。推广商业秘密在线公证，创新“公证+金融”服务模式，发挥公证书强制执行效力，助力防范化解金融市场风险。</w:t>
      </w:r>
      <w:r>
        <w:rPr>
          <w:rFonts w:hint="default" w:ascii="Times New Roman" w:hAnsi="Times New Roman" w:eastAsia="楷体_GB2312" w:cs="Times New Roman"/>
          <w:kern w:val="2"/>
          <w:sz w:val="32"/>
          <w:szCs w:val="32"/>
          <w:lang w:val="en-US" w:eastAsia="zh-CN" w:bidi="ar-SA"/>
        </w:rPr>
        <w:t>（牵头单位：司法局）</w:t>
      </w:r>
    </w:p>
    <w:p>
      <w:pPr>
        <w:spacing w:line="590" w:lineRule="exact"/>
        <w:ind w:firstLine="640" w:firstLineChars="200"/>
        <w:rPr>
          <w:rFonts w:hint="default" w:ascii="Times New Roman" w:hAnsi="Times New Roman" w:eastAsia="楷体_GB2312" w:cs="Times New Roman"/>
          <w:kern w:val="2"/>
          <w:sz w:val="32"/>
          <w:szCs w:val="32"/>
          <w:lang w:val="en-US" w:eastAsia="zh-CN" w:bidi="ar-SA"/>
        </w:rPr>
      </w:pPr>
      <w:r>
        <w:rPr>
          <w:rFonts w:hint="default" w:ascii="Times New Roman" w:hAnsi="Times New Roman" w:eastAsia="楷体_GB2312" w:cs="Times New Roman"/>
          <w:sz w:val="32"/>
          <w:szCs w:val="32"/>
        </w:rPr>
        <w:t>41. 打造“无忧”深蓝服务品牌。</w:t>
      </w:r>
      <w:r>
        <w:rPr>
          <w:rFonts w:hint="default" w:ascii="Times New Roman" w:hAnsi="Times New Roman" w:eastAsia="仿宋_GB2312" w:cs="Times New Roman"/>
          <w:sz w:val="32"/>
          <w:szCs w:val="32"/>
        </w:rPr>
        <w:t>建立如东“企无忧”深蓝服务队（助企安全顾问团），为重大项目、重点企业提供定制服务。发挥全县25家“商会警务服务站”建设优势，建强“商无忧”深蓝服务队伍，全力保障中小微民营企业健康发展。优化商会融入基层社会治理机制，增强商会凝聚力、影响力，促进“平安—发展”双循环。</w:t>
      </w:r>
      <w:r>
        <w:rPr>
          <w:rFonts w:hint="default" w:ascii="Times New Roman" w:hAnsi="Times New Roman" w:eastAsia="楷体_GB2312" w:cs="Times New Roman"/>
          <w:kern w:val="2"/>
          <w:sz w:val="32"/>
          <w:szCs w:val="32"/>
          <w:lang w:val="en-US" w:eastAsia="zh-CN" w:bidi="ar-SA"/>
        </w:rPr>
        <w:t>（牵头单位：公安局、工商联）</w:t>
      </w:r>
    </w:p>
    <w:p>
      <w:pPr>
        <w:spacing w:line="590" w:lineRule="exact"/>
        <w:ind w:firstLine="640" w:firstLineChars="200"/>
        <w:rPr>
          <w:rFonts w:hint="default" w:ascii="Times New Roman" w:hAnsi="Times New Roman" w:eastAsia="楷体_GB2312" w:cs="Times New Roman"/>
          <w:kern w:val="2"/>
          <w:sz w:val="32"/>
          <w:szCs w:val="32"/>
          <w:lang w:val="en-US" w:eastAsia="zh-CN" w:bidi="ar-SA"/>
        </w:rPr>
      </w:pPr>
      <w:r>
        <w:rPr>
          <w:rFonts w:hint="default" w:ascii="Times New Roman" w:hAnsi="Times New Roman" w:eastAsia="楷体_GB2312" w:cs="Times New Roman"/>
          <w:sz w:val="32"/>
          <w:szCs w:val="32"/>
        </w:rPr>
        <w:t>42. 推动涉企矛盾纠纷多元化解。</w:t>
      </w:r>
      <w:r>
        <w:rPr>
          <w:rFonts w:hint="default" w:ascii="Times New Roman" w:hAnsi="Times New Roman" w:eastAsia="仿宋_GB2312" w:cs="Times New Roman"/>
          <w:sz w:val="32"/>
          <w:szCs w:val="32"/>
        </w:rPr>
        <w:t>开展涉企矛盾纠纷排查化解专项行动，推广“苏解纷”线上调解平台，加强行业性、专业性调解组织建设，积极推动在民营企业中建立人民调解组织。提升调解工作效能，进一步在金融、保险、知识产权等新经济新业务中推广仲裁联络服务。</w:t>
      </w:r>
      <w:r>
        <w:rPr>
          <w:rFonts w:hint="default" w:ascii="Times New Roman" w:hAnsi="Times New Roman" w:eastAsia="楷体_GB2312" w:cs="Times New Roman"/>
          <w:kern w:val="2"/>
          <w:sz w:val="32"/>
          <w:szCs w:val="32"/>
          <w:lang w:val="en-US" w:eastAsia="zh-CN" w:bidi="ar-SA"/>
        </w:rPr>
        <w:t>（牵头单位：司法局）</w:t>
      </w:r>
    </w:p>
    <w:p>
      <w:pPr>
        <w:spacing w:line="590" w:lineRule="exact"/>
        <w:ind w:firstLine="640" w:firstLineChars="200"/>
        <w:rPr>
          <w:rFonts w:hint="default" w:ascii="Times New Roman" w:hAnsi="Times New Roman" w:eastAsia="楷体_GB2312" w:cs="Times New Roman"/>
          <w:kern w:val="2"/>
          <w:sz w:val="32"/>
          <w:szCs w:val="32"/>
          <w:lang w:val="en-US" w:eastAsia="zh-CN" w:bidi="ar-SA"/>
        </w:rPr>
      </w:pPr>
      <w:r>
        <w:rPr>
          <w:rFonts w:hint="default" w:ascii="Times New Roman" w:hAnsi="Times New Roman" w:eastAsia="楷体_GB2312" w:cs="Times New Roman"/>
          <w:sz w:val="32"/>
          <w:szCs w:val="32"/>
        </w:rPr>
        <w:t>43. 升级便企诉讼服务。</w:t>
      </w:r>
      <w:r>
        <w:rPr>
          <w:rFonts w:hint="default" w:ascii="Times New Roman" w:hAnsi="Times New Roman" w:eastAsia="仿宋_GB2312" w:cs="Times New Roman"/>
          <w:sz w:val="32"/>
          <w:szCs w:val="32"/>
        </w:rPr>
        <w:t>进一步推广“支云e站”服务功能，为企业提供普惠均等、便捷高效、智能精准的司法服务。推进诉前评估鉴定，深化金融、商会商事等领域诉调对接。</w:t>
      </w:r>
      <w:r>
        <w:rPr>
          <w:rFonts w:hint="default" w:ascii="Times New Roman" w:hAnsi="Times New Roman" w:eastAsia="楷体_GB2312" w:cs="Times New Roman"/>
          <w:kern w:val="2"/>
          <w:sz w:val="32"/>
          <w:szCs w:val="32"/>
          <w:lang w:val="en-US" w:eastAsia="zh-CN" w:bidi="ar-SA"/>
        </w:rPr>
        <w:t>（牵头单位：法院）</w:t>
      </w:r>
    </w:p>
    <w:p>
      <w:pPr>
        <w:spacing w:line="590" w:lineRule="exact"/>
        <w:ind w:firstLine="640" w:firstLineChars="200"/>
        <w:rPr>
          <w:rFonts w:hint="default" w:ascii="Times New Roman" w:hAnsi="Times New Roman" w:eastAsia="楷体_GB2312" w:cs="Times New Roman"/>
          <w:kern w:val="2"/>
          <w:sz w:val="32"/>
          <w:szCs w:val="32"/>
          <w:lang w:val="en-US" w:eastAsia="zh-CN" w:bidi="ar-SA"/>
        </w:rPr>
      </w:pPr>
      <w:r>
        <w:rPr>
          <w:rFonts w:hint="default" w:ascii="Times New Roman" w:hAnsi="Times New Roman" w:eastAsia="楷体_GB2312" w:cs="Times New Roman"/>
          <w:sz w:val="32"/>
          <w:szCs w:val="32"/>
        </w:rPr>
        <w:t>44. 推动行政争议源头预防治理。</w:t>
      </w:r>
      <w:r>
        <w:rPr>
          <w:rFonts w:hint="default" w:ascii="Times New Roman" w:hAnsi="Times New Roman" w:eastAsia="仿宋_GB2312" w:cs="Times New Roman"/>
          <w:sz w:val="32"/>
          <w:szCs w:val="32"/>
        </w:rPr>
        <w:t>激发行政行为自我纠正制度效能，进一步规范行政行为，推进行政机关主动消除行政行为违法状态，推动行政争议源头预防、源头治理，发挥行政复议化解行政争议主渠道作用，更大力度保障市场主体合法权益。</w:t>
      </w:r>
      <w:r>
        <w:rPr>
          <w:rFonts w:hint="default" w:ascii="Times New Roman" w:hAnsi="Times New Roman" w:eastAsia="楷体_GB2312" w:cs="Times New Roman"/>
          <w:kern w:val="2"/>
          <w:sz w:val="32"/>
          <w:szCs w:val="32"/>
          <w:lang w:val="en-US" w:eastAsia="zh-CN" w:bidi="ar-SA"/>
        </w:rPr>
        <w:t>（牵头单位：司法局、法院）</w:t>
      </w:r>
    </w:p>
    <w:p>
      <w:pPr>
        <w:spacing w:line="590" w:lineRule="exact"/>
        <w:ind w:firstLine="640" w:firstLineChars="200"/>
        <w:rPr>
          <w:rFonts w:hint="default" w:ascii="Times New Roman" w:hAnsi="Times New Roman" w:eastAsia="楷体_GB2312" w:cs="Times New Roman"/>
          <w:kern w:val="2"/>
          <w:sz w:val="32"/>
          <w:szCs w:val="32"/>
          <w:lang w:val="en-US" w:eastAsia="zh-CN" w:bidi="ar-SA"/>
        </w:rPr>
      </w:pPr>
      <w:r>
        <w:rPr>
          <w:rFonts w:hint="default" w:ascii="Times New Roman" w:hAnsi="Times New Roman" w:eastAsia="楷体_GB2312" w:cs="Times New Roman"/>
          <w:sz w:val="32"/>
          <w:szCs w:val="32"/>
        </w:rPr>
        <w:t>45. 提供知识产权综合保护。</w:t>
      </w:r>
      <w:r>
        <w:rPr>
          <w:rFonts w:hint="default" w:ascii="Times New Roman" w:hAnsi="Times New Roman" w:eastAsia="仿宋_GB2312" w:cs="Times New Roman"/>
          <w:sz w:val="32"/>
          <w:szCs w:val="32"/>
        </w:rPr>
        <w:t>组建知识产权一体化保护团队，深入推进知识产权行政违法查处、刑事犯罪打击行刑有效衔接，提升办案质效。用好各类普法宣传平台，充分开展“检格+网格”线下实践、“知识产权保护”法学沙龙等活动，调研了解企业知识产权领域学法用法需求，提升企业知识产权保护意识，服务企业依法维权、规避风险、合规经营。</w:t>
      </w:r>
      <w:r>
        <w:rPr>
          <w:rFonts w:hint="default" w:ascii="Times New Roman" w:hAnsi="Times New Roman" w:eastAsia="楷体_GB2312" w:cs="Times New Roman"/>
          <w:kern w:val="2"/>
          <w:sz w:val="32"/>
          <w:szCs w:val="32"/>
          <w:lang w:val="en-US" w:eastAsia="zh-CN" w:bidi="ar-SA"/>
        </w:rPr>
        <w:t>（牵头单位：市场监管局，责任单位：公安局、检察院、如东海关）</w:t>
      </w:r>
    </w:p>
    <w:p>
      <w:pPr>
        <w:spacing w:line="590" w:lineRule="exact"/>
        <w:ind w:firstLine="640" w:firstLineChars="200"/>
        <w:rPr>
          <w:rFonts w:hint="default" w:ascii="Times New Roman" w:hAnsi="Times New Roman" w:eastAsia="楷体_GB2312" w:cs="Times New Roman"/>
          <w:kern w:val="2"/>
          <w:sz w:val="32"/>
          <w:szCs w:val="32"/>
          <w:lang w:val="en-US" w:eastAsia="zh-CN" w:bidi="ar-SA"/>
        </w:rPr>
      </w:pPr>
      <w:r>
        <w:rPr>
          <w:rFonts w:hint="default" w:ascii="Times New Roman" w:hAnsi="Times New Roman" w:eastAsia="楷体_GB2312" w:cs="Times New Roman"/>
          <w:sz w:val="32"/>
          <w:szCs w:val="32"/>
        </w:rPr>
        <w:t>46. 集中清理涉企“挂案”。</w:t>
      </w:r>
      <w:r>
        <w:rPr>
          <w:rFonts w:hint="default" w:ascii="Times New Roman" w:hAnsi="Times New Roman" w:eastAsia="仿宋_GB2312" w:cs="Times New Roman"/>
          <w:sz w:val="32"/>
          <w:szCs w:val="32"/>
        </w:rPr>
        <w:t>建立健全挂案清理工作推进机制，开展警企大座谈、大走访等系列活动，畅通“12309”“检企直通车”等企业诉求表达渠道，对全县涉企挂案开展集中清理、质量评查，监督纠正违规立案撤案、插手民事经济纠纷等问题，排查“压案不查、有罪不究”风险，对立案之日起超过二年未处理、长期搁置的“挂案”开展全面督导，让企业轻装上阵、放手发展。</w:t>
      </w:r>
      <w:r>
        <w:rPr>
          <w:rFonts w:hint="default" w:ascii="Times New Roman" w:hAnsi="Times New Roman" w:eastAsia="楷体_GB2312" w:cs="Times New Roman"/>
          <w:kern w:val="2"/>
          <w:sz w:val="32"/>
          <w:szCs w:val="32"/>
          <w:lang w:val="en-US" w:eastAsia="zh-CN" w:bidi="ar-SA"/>
        </w:rPr>
        <w:t>（牵头单位：公安局、检察院）</w:t>
      </w:r>
    </w:p>
    <w:p>
      <w:pPr>
        <w:spacing w:line="590" w:lineRule="exact"/>
        <w:ind w:firstLine="640" w:firstLineChars="200"/>
        <w:rPr>
          <w:rFonts w:hint="default" w:ascii="Times New Roman" w:hAnsi="Times New Roman" w:eastAsia="楷体_GB2312" w:cs="Times New Roman"/>
          <w:kern w:val="2"/>
          <w:sz w:val="32"/>
          <w:szCs w:val="32"/>
          <w:lang w:val="en-US" w:eastAsia="zh-CN" w:bidi="ar-SA"/>
        </w:rPr>
      </w:pPr>
      <w:r>
        <w:rPr>
          <w:rFonts w:hint="default" w:ascii="Times New Roman" w:hAnsi="Times New Roman" w:eastAsia="楷体_GB2312" w:cs="Times New Roman"/>
          <w:sz w:val="32"/>
          <w:szCs w:val="32"/>
        </w:rPr>
        <w:t>47. 全面推进涉案企业合规改革。</w:t>
      </w:r>
      <w:r>
        <w:rPr>
          <w:rFonts w:hint="default" w:ascii="Times New Roman" w:hAnsi="Times New Roman" w:eastAsia="仿宋_GB2312" w:cs="Times New Roman"/>
          <w:sz w:val="32"/>
          <w:szCs w:val="32"/>
        </w:rPr>
        <w:t>建立企业行政合规指导清单制度，坚持平等保护与促进企业守法合规经营并重，推行行政执法事前指导、事后延伸，对企业生产经营中行政违法风险点提前监控；针对企业合规经营、安全生产、环境保护等方面的问题，向涉案企业精准制发检察建议，帮助企业建章立制、堵塞漏洞，建立并执行有效的合规计划。引入第三方监管、评估、指导企业认真落实合规整改，完善现代企业管理制度，促进企业合规经营。</w:t>
      </w:r>
      <w:r>
        <w:rPr>
          <w:rFonts w:hint="default" w:ascii="Times New Roman" w:hAnsi="Times New Roman" w:eastAsia="楷体_GB2312" w:cs="Times New Roman"/>
          <w:kern w:val="2"/>
          <w:sz w:val="32"/>
          <w:szCs w:val="32"/>
          <w:lang w:val="en-US" w:eastAsia="zh-CN" w:bidi="ar-SA"/>
        </w:rPr>
        <w:t>（牵头单位：检察院、司法局，责任单位：工商联）</w:t>
      </w:r>
    </w:p>
    <w:p>
      <w:pPr>
        <w:spacing w:line="590" w:lineRule="exact"/>
        <w:ind w:firstLine="640" w:firstLineChars="200"/>
        <w:rPr>
          <w:rFonts w:hint="default" w:ascii="Times New Roman" w:hAnsi="Times New Roman" w:eastAsia="楷体_GB2312" w:cs="Times New Roman"/>
          <w:kern w:val="2"/>
          <w:sz w:val="32"/>
          <w:szCs w:val="32"/>
          <w:lang w:val="en-US" w:eastAsia="zh-CN" w:bidi="ar-SA"/>
        </w:rPr>
      </w:pPr>
      <w:r>
        <w:rPr>
          <w:rFonts w:hint="default" w:ascii="Times New Roman" w:hAnsi="Times New Roman" w:eastAsia="楷体_GB2312" w:cs="Times New Roman"/>
          <w:sz w:val="32"/>
          <w:szCs w:val="32"/>
        </w:rPr>
        <w:t>48. 慎用财产保全措施，推进善意文明执行。</w:t>
      </w:r>
      <w:r>
        <w:rPr>
          <w:rFonts w:hint="default" w:ascii="Times New Roman" w:hAnsi="Times New Roman" w:eastAsia="仿宋_GB2312" w:cs="Times New Roman"/>
          <w:sz w:val="32"/>
          <w:szCs w:val="32"/>
        </w:rPr>
        <w:t>常态化开展涉企案件集中执行、专项执行，及时兑现企业胜诉权益。深化“365”全流程无纸化执行模式改革，确保各类执行事务及时妥善处理，续封续保、解封解冻等工作高效顺畅办结。加强和规范财产保全工作，尽量采取对企业正常经营影响较小的保全措施。对暂时陷入困境的企业，依法审慎采取强制措施，以达成和解协议、“活封”“活扣”等方式“放水养鱼”、实现双赢。</w:t>
      </w:r>
      <w:r>
        <w:rPr>
          <w:rFonts w:hint="default" w:ascii="Times New Roman" w:hAnsi="Times New Roman" w:eastAsia="楷体_GB2312" w:cs="Times New Roman"/>
          <w:kern w:val="2"/>
          <w:sz w:val="32"/>
          <w:szCs w:val="32"/>
          <w:lang w:val="en-US" w:eastAsia="zh-CN" w:bidi="ar-SA"/>
        </w:rPr>
        <w:t>（牵头单位：法院）</w:t>
      </w:r>
    </w:p>
    <w:p>
      <w:pPr>
        <w:spacing w:line="590" w:lineRule="exact"/>
        <w:ind w:firstLine="640" w:firstLineChars="200"/>
        <w:rPr>
          <w:rFonts w:hint="default" w:ascii="Times New Roman" w:hAnsi="Times New Roman" w:eastAsia="楷体_GB2312" w:cs="Times New Roman"/>
          <w:kern w:val="2"/>
          <w:sz w:val="32"/>
          <w:szCs w:val="32"/>
          <w:lang w:val="en-US" w:eastAsia="zh-CN" w:bidi="ar-SA"/>
        </w:rPr>
      </w:pPr>
      <w:r>
        <w:rPr>
          <w:rFonts w:hint="default" w:ascii="Times New Roman" w:hAnsi="Times New Roman" w:eastAsia="楷体_GB2312" w:cs="Times New Roman"/>
          <w:sz w:val="32"/>
          <w:szCs w:val="32"/>
        </w:rPr>
        <w:t>49. 深化府院联动机制，畅通市场主体退出通道。</w:t>
      </w:r>
      <w:r>
        <w:rPr>
          <w:rFonts w:hint="default" w:ascii="Times New Roman" w:hAnsi="Times New Roman" w:eastAsia="仿宋_GB2312" w:cs="Times New Roman"/>
          <w:sz w:val="32"/>
          <w:szCs w:val="32"/>
        </w:rPr>
        <w:t>简化破产案件办理流程，加大对长期未结案件清理力度，降低企业破产成本。发挥破产救治功能，通过预重整、破产重整、和解等程序，帮助企业化解债务危机，实现涅</w:t>
      </w:r>
      <w:r>
        <w:rPr>
          <w:rFonts w:hint="default" w:ascii="Times New Roman" w:hAnsi="Times New Roman" w:eastAsia="方正仿宋_GBK" w:cs="Times New Roman"/>
          <w:sz w:val="32"/>
          <w:szCs w:val="32"/>
        </w:rPr>
        <w:t>槃</w:t>
      </w:r>
      <w:r>
        <w:rPr>
          <w:rFonts w:hint="default" w:ascii="Times New Roman" w:hAnsi="Times New Roman" w:eastAsia="仿宋_GB2312" w:cs="Times New Roman"/>
          <w:sz w:val="32"/>
          <w:szCs w:val="32"/>
        </w:rPr>
        <w:t>重生。深化府院联动，推动解决资产处置、职工安置、涉税事项等难点堵点问题。创新办理破产工作机制，支持和便利破产管理人依法履职，推进“执转破”、类个人破产、打击逃废债等工作取得新突破。</w:t>
      </w:r>
      <w:r>
        <w:rPr>
          <w:rFonts w:hint="default" w:ascii="Times New Roman" w:hAnsi="Times New Roman" w:eastAsia="楷体_GB2312" w:cs="Times New Roman"/>
          <w:kern w:val="2"/>
          <w:sz w:val="32"/>
          <w:szCs w:val="32"/>
          <w:lang w:val="en-US" w:eastAsia="zh-CN" w:bidi="ar-SA"/>
        </w:rPr>
        <w:t>（牵头单位：法院）</w:t>
      </w:r>
    </w:p>
    <w:p>
      <w:pPr>
        <w:spacing w:line="590" w:lineRule="exact"/>
        <w:ind w:firstLine="640" w:firstLineChars="200"/>
        <w:rPr>
          <w:rFonts w:hint="default" w:ascii="Times New Roman" w:hAnsi="Times New Roman" w:eastAsia="黑体" w:cs="Times New Roman"/>
          <w:sz w:val="32"/>
          <w:szCs w:val="32"/>
        </w:rPr>
      </w:pPr>
      <w:r>
        <w:rPr>
          <w:rFonts w:hint="default" w:ascii="Times New Roman" w:hAnsi="Times New Roman" w:eastAsia="黑体" w:cs="Times New Roman"/>
          <w:sz w:val="32"/>
          <w:szCs w:val="32"/>
        </w:rPr>
        <w:t>五、营造包容合作的开放环境（9条）</w:t>
      </w:r>
    </w:p>
    <w:p>
      <w:pPr>
        <w:spacing w:line="590" w:lineRule="exact"/>
        <w:ind w:firstLine="640" w:firstLineChars="200"/>
        <w:rPr>
          <w:rFonts w:hint="default" w:ascii="Times New Roman" w:hAnsi="Times New Roman" w:eastAsia="楷体_GB2312" w:cs="Times New Roman"/>
          <w:kern w:val="2"/>
          <w:sz w:val="32"/>
          <w:szCs w:val="32"/>
          <w:lang w:val="en-US" w:eastAsia="zh-CN" w:bidi="ar-SA"/>
        </w:rPr>
      </w:pPr>
      <w:r>
        <w:rPr>
          <w:rFonts w:hint="default" w:ascii="Times New Roman" w:hAnsi="Times New Roman" w:eastAsia="楷体_GB2312" w:cs="Times New Roman"/>
          <w:sz w:val="32"/>
          <w:szCs w:val="32"/>
        </w:rPr>
        <w:t>50. 推广APEC商务旅行卡应用。</w:t>
      </w:r>
      <w:r>
        <w:rPr>
          <w:rFonts w:hint="default" w:ascii="Times New Roman" w:hAnsi="Times New Roman" w:eastAsia="仿宋_GB2312" w:cs="Times New Roman"/>
          <w:sz w:val="32"/>
          <w:szCs w:val="32"/>
        </w:rPr>
        <w:t>加大对涉外经贸企业的宣传推广力度，对符合条件的企业管理人员做到需办尽办。</w:t>
      </w:r>
      <w:r>
        <w:rPr>
          <w:rFonts w:hint="default" w:ascii="Times New Roman" w:hAnsi="Times New Roman" w:eastAsia="楷体_GB2312" w:cs="Times New Roman"/>
          <w:kern w:val="2"/>
          <w:sz w:val="32"/>
          <w:szCs w:val="32"/>
          <w:lang w:val="en-US" w:eastAsia="zh-CN" w:bidi="ar-SA"/>
        </w:rPr>
        <w:t>（牵头单位：外办，责任单位：商务局）</w:t>
      </w:r>
    </w:p>
    <w:p>
      <w:pPr>
        <w:spacing w:line="590" w:lineRule="exact"/>
        <w:ind w:firstLine="640" w:firstLineChars="200"/>
        <w:rPr>
          <w:rFonts w:hint="default" w:ascii="Times New Roman" w:hAnsi="Times New Roman" w:eastAsia="楷体_GB2312" w:cs="Times New Roman"/>
          <w:kern w:val="2"/>
          <w:sz w:val="32"/>
          <w:szCs w:val="32"/>
          <w:lang w:val="en-US" w:eastAsia="zh-CN" w:bidi="ar-SA"/>
        </w:rPr>
      </w:pPr>
      <w:r>
        <w:rPr>
          <w:rFonts w:hint="default" w:ascii="Times New Roman" w:hAnsi="Times New Roman" w:eastAsia="楷体_GB2312" w:cs="Times New Roman"/>
          <w:sz w:val="32"/>
          <w:szCs w:val="32"/>
        </w:rPr>
        <w:t>51. 助力企业用好RCEP规则。</w:t>
      </w:r>
      <w:r>
        <w:rPr>
          <w:rFonts w:hint="default" w:ascii="Times New Roman" w:hAnsi="Times New Roman" w:eastAsia="仿宋_GB2312" w:cs="Times New Roman"/>
          <w:sz w:val="32"/>
          <w:szCs w:val="32"/>
        </w:rPr>
        <w:t>引导企业积极使用自贸协定综合服务平台，加强针对性培训和对企服务指导，助力企业用好区域全面经济伙伴关系协定规则，降低企业跨境贸易成本。支持企业参加各类展会，组织参与“南通名品海外行”系列展，助力企业开拓国际市场。</w:t>
      </w:r>
      <w:r>
        <w:rPr>
          <w:rFonts w:hint="default" w:ascii="Times New Roman" w:hAnsi="Times New Roman" w:eastAsia="楷体_GB2312" w:cs="Times New Roman"/>
          <w:kern w:val="2"/>
          <w:sz w:val="32"/>
          <w:szCs w:val="32"/>
          <w:lang w:val="en-US" w:eastAsia="zh-CN" w:bidi="ar-SA"/>
        </w:rPr>
        <w:t>（牵头单位：商务局）</w:t>
      </w:r>
    </w:p>
    <w:p>
      <w:pPr>
        <w:spacing w:line="59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楷体_GB2312" w:cs="Times New Roman"/>
          <w:sz w:val="32"/>
          <w:szCs w:val="32"/>
        </w:rPr>
        <w:t>52. 构建跨境电商发展“生态圈”。</w:t>
      </w:r>
      <w:r>
        <w:rPr>
          <w:rFonts w:hint="default" w:ascii="Times New Roman" w:hAnsi="Times New Roman" w:eastAsia="仿宋_GB2312" w:cs="Times New Roman"/>
          <w:sz w:val="32"/>
          <w:szCs w:val="32"/>
        </w:rPr>
        <w:t>积极参与南通跨境电商选品博览会，推动如东“跨境电商产业园”建设，大力招引和培育各类卖家企业和跨境电商服务商企业，加快形成跨境电商集聚。</w:t>
      </w:r>
      <w:r>
        <w:rPr>
          <w:rFonts w:hint="default" w:ascii="Times New Roman" w:hAnsi="Times New Roman" w:eastAsia="楷体_GB2312" w:cs="Times New Roman"/>
          <w:kern w:val="2"/>
          <w:sz w:val="32"/>
          <w:szCs w:val="32"/>
          <w:lang w:val="en-US" w:eastAsia="zh-CN" w:bidi="ar-SA"/>
        </w:rPr>
        <w:t>（牵头单位：商务局）</w:t>
      </w:r>
    </w:p>
    <w:p>
      <w:pPr>
        <w:spacing w:line="590" w:lineRule="exact"/>
        <w:ind w:firstLine="640" w:firstLineChars="200"/>
        <w:rPr>
          <w:rFonts w:hint="default" w:ascii="Times New Roman" w:hAnsi="Times New Roman" w:eastAsia="楷体_GB2312" w:cs="Times New Roman"/>
          <w:kern w:val="2"/>
          <w:sz w:val="32"/>
          <w:szCs w:val="32"/>
          <w:lang w:val="en-US" w:eastAsia="zh-CN" w:bidi="ar-SA"/>
        </w:rPr>
      </w:pPr>
      <w:r>
        <w:rPr>
          <w:rFonts w:hint="default" w:ascii="Times New Roman" w:hAnsi="Times New Roman" w:eastAsia="楷体_GB2312" w:cs="Times New Roman"/>
          <w:sz w:val="32"/>
          <w:szCs w:val="32"/>
        </w:rPr>
        <w:t>53. 加大企业跨境收支政策支持力度。</w:t>
      </w:r>
      <w:r>
        <w:rPr>
          <w:rFonts w:hint="default" w:ascii="Times New Roman" w:hAnsi="Times New Roman" w:eastAsia="仿宋_GB2312" w:cs="Times New Roman"/>
          <w:sz w:val="32"/>
          <w:szCs w:val="32"/>
        </w:rPr>
        <w:t>推动优质企业贸易外汇收支、资本项目收入使用便利化业务量提质增效，力争2023年优质企业贸易外汇收支便利化企业家数、收支总量较去年同比增长超40%；指导银行加大跨境人民币“三降一优”力度，提升跨境人民币资金结算效率。</w:t>
      </w:r>
      <w:r>
        <w:rPr>
          <w:rFonts w:hint="default" w:ascii="Times New Roman" w:hAnsi="Times New Roman" w:eastAsia="楷体_GB2312" w:cs="Times New Roman"/>
          <w:kern w:val="2"/>
          <w:sz w:val="32"/>
          <w:szCs w:val="32"/>
          <w:lang w:val="en-US" w:eastAsia="zh-CN" w:bidi="ar-SA"/>
        </w:rPr>
        <w:t>（牵头单位：人民银行如东县支行）</w:t>
      </w:r>
    </w:p>
    <w:p>
      <w:pPr>
        <w:spacing w:line="59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楷体_GB2312" w:cs="Times New Roman"/>
          <w:sz w:val="32"/>
          <w:szCs w:val="32"/>
        </w:rPr>
        <w:t>54. 深入开展企业汇率风险管理服务专项行动。</w:t>
      </w:r>
      <w:r>
        <w:rPr>
          <w:rFonts w:hint="default" w:ascii="Times New Roman" w:hAnsi="Times New Roman" w:eastAsia="仿宋_GB2312" w:cs="Times New Roman"/>
          <w:sz w:val="32"/>
          <w:szCs w:val="32"/>
        </w:rPr>
        <w:t>全辖外汇衍生品签约口径套保率突破30%，增强企业抗汇率风险能力，减少汇兑损失；在落实落细外汇衍生品首办户奖励政策基础上，积极推动政府资金风险补偿，对企业办理外汇套保业务给予保证金减免优惠。</w:t>
      </w:r>
      <w:r>
        <w:rPr>
          <w:rFonts w:hint="default" w:ascii="Times New Roman" w:hAnsi="Times New Roman" w:eastAsia="楷体_GB2312" w:cs="Times New Roman"/>
          <w:kern w:val="2"/>
          <w:sz w:val="32"/>
          <w:szCs w:val="32"/>
          <w:lang w:val="en-US" w:eastAsia="zh-CN" w:bidi="ar-SA"/>
        </w:rPr>
        <w:t>（牵头单位：人民银行如东县支行）</w:t>
      </w:r>
    </w:p>
    <w:p>
      <w:pPr>
        <w:spacing w:line="590" w:lineRule="exact"/>
        <w:ind w:firstLine="640" w:firstLineChars="200"/>
        <w:rPr>
          <w:rFonts w:hint="default" w:ascii="Times New Roman" w:hAnsi="Times New Roman" w:eastAsia="楷体_GB2312" w:cs="Times New Roman"/>
          <w:kern w:val="2"/>
          <w:sz w:val="32"/>
          <w:szCs w:val="32"/>
          <w:lang w:val="en-US" w:eastAsia="zh-CN" w:bidi="ar-SA"/>
        </w:rPr>
      </w:pPr>
      <w:r>
        <w:rPr>
          <w:rFonts w:hint="default" w:ascii="Times New Roman" w:hAnsi="Times New Roman" w:eastAsia="楷体_GB2312" w:cs="Times New Roman"/>
          <w:sz w:val="32"/>
          <w:szCs w:val="32"/>
        </w:rPr>
        <w:t>55. 支持银行更好服务外贸新业态发展。</w:t>
      </w:r>
      <w:r>
        <w:rPr>
          <w:rFonts w:hint="default" w:ascii="Times New Roman" w:hAnsi="Times New Roman" w:eastAsia="仿宋_GB2312" w:cs="Times New Roman"/>
          <w:sz w:val="32"/>
          <w:szCs w:val="32"/>
        </w:rPr>
        <w:t>新增2-3家银行接入市场采购管理平台，便利企业通过平台办理网上收结汇业务；加强与中信保联动，助力外贸新业态发展。</w:t>
      </w:r>
      <w:r>
        <w:rPr>
          <w:rFonts w:hint="default" w:ascii="Times New Roman" w:hAnsi="Times New Roman" w:eastAsia="楷体_GB2312" w:cs="Times New Roman"/>
          <w:kern w:val="2"/>
          <w:sz w:val="32"/>
          <w:szCs w:val="32"/>
          <w:lang w:val="en-US" w:eastAsia="zh-CN" w:bidi="ar-SA"/>
        </w:rPr>
        <w:t>（牵头单位：人民银行如东县支行）</w:t>
      </w:r>
    </w:p>
    <w:p>
      <w:pPr>
        <w:spacing w:line="590" w:lineRule="exact"/>
        <w:ind w:firstLine="640" w:firstLineChars="200"/>
        <w:rPr>
          <w:rFonts w:hint="default" w:ascii="Times New Roman" w:hAnsi="Times New Roman" w:eastAsia="楷体_GB2312" w:cs="Times New Roman"/>
          <w:kern w:val="2"/>
          <w:sz w:val="32"/>
          <w:szCs w:val="32"/>
          <w:lang w:val="en-US" w:eastAsia="zh-CN" w:bidi="ar-SA"/>
        </w:rPr>
      </w:pPr>
      <w:r>
        <w:rPr>
          <w:rFonts w:hint="default" w:ascii="Times New Roman" w:hAnsi="Times New Roman" w:eastAsia="楷体_GB2312" w:cs="Times New Roman"/>
          <w:sz w:val="32"/>
          <w:szCs w:val="32"/>
        </w:rPr>
        <w:t>56. 施行7×24 小时国际航行船舶入出境通关保障和国际航行船舶入境出境手续“一次办妥”。</w:t>
      </w:r>
      <w:r>
        <w:rPr>
          <w:rFonts w:hint="default" w:ascii="Times New Roman" w:hAnsi="Times New Roman" w:eastAsia="仿宋_GB2312" w:cs="Times New Roman"/>
          <w:sz w:val="32"/>
          <w:szCs w:val="32"/>
        </w:rPr>
        <w:t>为港航企业提供24小时通关保障，7×24 小时办理国际航行船舶预检、入出境手续、上下外轮许可和搭靠外轮许可等边检业务，畅通港口物流通道，进一步降低企业运营成本，提升企业竞争力。对在港停泊时间不超过 24 小时且无船员换班的国际航行船舶，港口边检站根据船舶代理申请，一次性办结入境、出境手续，减少船舶在港停留时间。</w:t>
      </w:r>
      <w:r>
        <w:rPr>
          <w:rFonts w:hint="default" w:ascii="Times New Roman" w:hAnsi="Times New Roman" w:eastAsia="楷体_GB2312" w:cs="Times New Roman"/>
          <w:kern w:val="2"/>
          <w:sz w:val="32"/>
          <w:szCs w:val="32"/>
          <w:lang w:val="en-US" w:eastAsia="zh-CN" w:bidi="ar-SA"/>
        </w:rPr>
        <w:t>（牵头单位：如东出入境边防检查站）</w:t>
      </w:r>
    </w:p>
    <w:p>
      <w:pPr>
        <w:spacing w:line="590" w:lineRule="exact"/>
        <w:ind w:firstLine="640" w:firstLineChars="200"/>
        <w:rPr>
          <w:rFonts w:hint="default" w:ascii="Times New Roman" w:hAnsi="Times New Roman" w:eastAsia="楷体_GB2312" w:cs="Times New Roman"/>
          <w:kern w:val="2"/>
          <w:sz w:val="32"/>
          <w:szCs w:val="32"/>
          <w:lang w:val="en-US" w:eastAsia="zh-CN" w:bidi="ar-SA"/>
        </w:rPr>
      </w:pPr>
      <w:r>
        <w:rPr>
          <w:rFonts w:hint="default" w:ascii="Times New Roman" w:hAnsi="Times New Roman" w:eastAsia="楷体_GB2312" w:cs="Times New Roman"/>
          <w:sz w:val="32"/>
          <w:szCs w:val="32"/>
        </w:rPr>
        <w:t>57. 开设能源物资出入境边检“快捷通道”。</w:t>
      </w:r>
      <w:r>
        <w:rPr>
          <w:rFonts w:hint="default" w:ascii="Times New Roman" w:hAnsi="Times New Roman" w:eastAsia="仿宋_GB2312" w:cs="Times New Roman"/>
          <w:sz w:val="32"/>
          <w:szCs w:val="32"/>
        </w:rPr>
        <w:t>为载运LNG等能源物资的跨境交通运输工具开设快捷通道、提供预约通关服务，优先快速办理出入境手续。</w:t>
      </w:r>
      <w:r>
        <w:rPr>
          <w:rFonts w:hint="default" w:ascii="Times New Roman" w:hAnsi="Times New Roman" w:eastAsia="楷体_GB2312" w:cs="Times New Roman"/>
          <w:kern w:val="2"/>
          <w:sz w:val="32"/>
          <w:szCs w:val="32"/>
          <w:lang w:val="en-US" w:eastAsia="zh-CN" w:bidi="ar-SA"/>
        </w:rPr>
        <w:t>（牵头单位：如东出入境边防检查站）</w:t>
      </w:r>
    </w:p>
    <w:p>
      <w:pPr>
        <w:spacing w:line="590" w:lineRule="exact"/>
        <w:ind w:firstLine="640" w:firstLineChars="200"/>
        <w:rPr>
          <w:rFonts w:hint="default" w:ascii="Times New Roman" w:hAnsi="Times New Roman" w:eastAsia="楷体_GB2312" w:cs="Times New Roman"/>
          <w:kern w:val="2"/>
          <w:sz w:val="32"/>
          <w:szCs w:val="32"/>
          <w:lang w:val="en-US" w:eastAsia="zh-CN" w:bidi="ar-SA"/>
        </w:rPr>
      </w:pPr>
      <w:r>
        <w:rPr>
          <w:rFonts w:hint="default" w:ascii="Times New Roman" w:hAnsi="Times New Roman" w:eastAsia="楷体_GB2312" w:cs="Times New Roman"/>
          <w:sz w:val="32"/>
          <w:szCs w:val="32"/>
        </w:rPr>
        <w:t>58. 建立出入境抢修救援“紧急通道”。</w:t>
      </w:r>
      <w:r>
        <w:rPr>
          <w:rFonts w:hint="default" w:ascii="Times New Roman" w:hAnsi="Times New Roman" w:eastAsia="仿宋_GB2312" w:cs="Times New Roman"/>
          <w:sz w:val="32"/>
          <w:szCs w:val="32"/>
        </w:rPr>
        <w:t>对紧急救援、跨境交通和能源等设施紧急抢修及其他突发情形，为受伤、患病、遇险获救人员、执行紧急抢修作业人员等开通出入境边检“紧急通道”，最大程度保障生命财产安全。</w:t>
      </w:r>
      <w:r>
        <w:rPr>
          <w:rFonts w:hint="default" w:ascii="Times New Roman" w:hAnsi="Times New Roman" w:eastAsia="楷体_GB2312" w:cs="Times New Roman"/>
          <w:kern w:val="2"/>
          <w:sz w:val="32"/>
          <w:szCs w:val="32"/>
          <w:lang w:val="en-US" w:eastAsia="zh-CN" w:bidi="ar-SA"/>
        </w:rPr>
        <w:t>（牵头单位：如东出入境边防检查站，责任单位：卫健委）</w:t>
      </w:r>
    </w:p>
    <w:p>
      <w:pPr>
        <w:spacing w:line="590" w:lineRule="exact"/>
        <w:ind w:firstLine="640" w:firstLineChars="200"/>
        <w:rPr>
          <w:rFonts w:hint="default" w:ascii="Times New Roman" w:hAnsi="Times New Roman" w:eastAsia="黑体" w:cs="Times New Roman"/>
          <w:sz w:val="32"/>
          <w:szCs w:val="32"/>
        </w:rPr>
      </w:pPr>
      <w:r>
        <w:rPr>
          <w:rFonts w:hint="default" w:ascii="Times New Roman" w:hAnsi="Times New Roman" w:eastAsia="黑体" w:cs="Times New Roman"/>
          <w:sz w:val="32"/>
          <w:szCs w:val="32"/>
        </w:rPr>
        <w:t>六、营造亲商安商的人文环境（8条）</w:t>
      </w:r>
    </w:p>
    <w:p>
      <w:pPr>
        <w:spacing w:line="590" w:lineRule="exact"/>
        <w:ind w:firstLine="640" w:firstLineChars="200"/>
        <w:rPr>
          <w:rFonts w:hint="default" w:ascii="Times New Roman" w:hAnsi="Times New Roman" w:eastAsia="楷体_GB2312" w:cs="Times New Roman"/>
          <w:kern w:val="2"/>
          <w:sz w:val="32"/>
          <w:szCs w:val="32"/>
          <w:lang w:val="en-US" w:eastAsia="zh-CN" w:bidi="ar-SA"/>
        </w:rPr>
      </w:pPr>
      <w:r>
        <w:rPr>
          <w:rFonts w:hint="default" w:ascii="Times New Roman" w:hAnsi="Times New Roman" w:eastAsia="楷体_GB2312" w:cs="Times New Roman"/>
          <w:sz w:val="32"/>
          <w:szCs w:val="32"/>
        </w:rPr>
        <w:t>59. 建立26℃温馨服务直通车机制。</w:t>
      </w:r>
      <w:r>
        <w:rPr>
          <w:rFonts w:hint="default" w:ascii="Times New Roman" w:hAnsi="Times New Roman" w:eastAsia="仿宋_GB2312" w:cs="Times New Roman"/>
          <w:sz w:val="32"/>
          <w:szCs w:val="32"/>
        </w:rPr>
        <w:t>建立“1+2+3直通车”服务工作机制，在县、镇两级联动开展服务市场主体大走访活动，按照“规上企业家家必到、小微企业有求必应”的要求，坚持“首问负责、会办协作、问题导向、落实清单、限时解决”原则，对市场主体反映的问题诉求建立“收集—处理—跟踪—反馈”机制，确保在5个工作日内予以协调并反馈结果，同时强化共性问题举一反三、个性诉求靠前协作，以点带面形成全闭环服务机制。</w:t>
      </w:r>
      <w:r>
        <w:rPr>
          <w:rFonts w:hint="default" w:ascii="Times New Roman" w:hAnsi="Times New Roman" w:eastAsia="楷体_GB2312" w:cs="Times New Roman"/>
          <w:kern w:val="2"/>
          <w:sz w:val="32"/>
          <w:szCs w:val="32"/>
          <w:lang w:val="en-US" w:eastAsia="zh-CN" w:bidi="ar-SA"/>
        </w:rPr>
        <w:t>（牵头单位：发改委，责任单位：各相关部门，各镇〈区、街道〉）</w:t>
      </w:r>
    </w:p>
    <w:p>
      <w:pPr>
        <w:adjustRightInd w:val="0"/>
        <w:snapToGrid w:val="0"/>
        <w:spacing w:line="590" w:lineRule="exact"/>
        <w:ind w:firstLine="640" w:firstLineChars="200"/>
        <w:rPr>
          <w:rFonts w:hint="default" w:ascii="Times New Roman" w:hAnsi="Times New Roman" w:eastAsia="楷体_GB2312" w:cs="Times New Roman"/>
          <w:kern w:val="2"/>
          <w:sz w:val="32"/>
          <w:szCs w:val="32"/>
          <w:lang w:val="en-US" w:eastAsia="zh-CN" w:bidi="ar-SA"/>
        </w:rPr>
      </w:pPr>
      <w:r>
        <w:rPr>
          <w:rFonts w:hint="default" w:ascii="Times New Roman" w:hAnsi="Times New Roman" w:eastAsia="楷体_GB2312" w:cs="Times New Roman"/>
          <w:sz w:val="32"/>
          <w:szCs w:val="32"/>
        </w:rPr>
        <w:t>60. 持续开展“金牛奖”评选活动。</w:t>
      </w:r>
      <w:r>
        <w:rPr>
          <w:rFonts w:hint="default" w:ascii="Times New Roman" w:hAnsi="Times New Roman" w:eastAsia="仿宋_GB2312" w:cs="Times New Roman"/>
          <w:kern w:val="32"/>
          <w:sz w:val="32"/>
          <w:szCs w:val="32"/>
        </w:rPr>
        <w:t>围绕“争当表率、争做示范、走在前列”总要求，</w:t>
      </w:r>
      <w:r>
        <w:rPr>
          <w:rFonts w:hint="default" w:ascii="Times New Roman" w:hAnsi="Times New Roman" w:eastAsia="仿宋_GB2312" w:cs="Times New Roman"/>
          <w:snapToGrid w:val="0"/>
          <w:sz w:val="32"/>
          <w:szCs w:val="32"/>
        </w:rPr>
        <w:t>统筹开展好“持续突出贡献奖”“纳税超亿元卓越奖”“突出贡献新锐奖”“</w:t>
      </w:r>
      <w:r>
        <w:rPr>
          <w:rFonts w:hint="default" w:ascii="Times New Roman" w:hAnsi="Times New Roman" w:eastAsia="仿宋_GB2312" w:cs="Times New Roman"/>
          <w:kern w:val="32"/>
          <w:sz w:val="32"/>
          <w:szCs w:val="32"/>
        </w:rPr>
        <w:t>创新</w:t>
      </w:r>
      <w:r>
        <w:rPr>
          <w:rFonts w:hint="default" w:ascii="Times New Roman" w:hAnsi="Times New Roman" w:eastAsia="仿宋_GB2312" w:cs="Times New Roman"/>
          <w:snapToGrid w:val="0"/>
          <w:sz w:val="32"/>
          <w:szCs w:val="32"/>
        </w:rPr>
        <w:t>奖”“‘张謇式’杰出企业家”“如东企业优秀高层管理工作者”“如东企业优秀县外员工”等各类奖项评选活动，进一步将奖励对象从企业本身向企业家、企业管理者以及员工不同群体延伸</w:t>
      </w:r>
      <w:r>
        <w:rPr>
          <w:rFonts w:hint="default" w:ascii="Times New Roman" w:hAnsi="Times New Roman" w:eastAsia="仿宋_GB2312" w:cs="Times New Roman"/>
          <w:kern w:val="32"/>
          <w:sz w:val="32"/>
          <w:szCs w:val="32"/>
        </w:rPr>
        <w:t>，</w:t>
      </w:r>
      <w:r>
        <w:rPr>
          <w:rFonts w:hint="default" w:ascii="Times New Roman" w:hAnsi="Times New Roman" w:eastAsia="仿宋_GB2312" w:cs="Times New Roman"/>
          <w:snapToGrid w:val="0"/>
          <w:sz w:val="32"/>
          <w:szCs w:val="32"/>
        </w:rPr>
        <w:t>深入营造尊重爱护支持企业家、企业管理者以及员工的浓厚氛围。</w:t>
      </w:r>
      <w:r>
        <w:rPr>
          <w:rFonts w:hint="default" w:ascii="Times New Roman" w:hAnsi="Times New Roman" w:eastAsia="楷体_GB2312" w:cs="Times New Roman"/>
          <w:kern w:val="2"/>
          <w:sz w:val="32"/>
          <w:szCs w:val="32"/>
          <w:lang w:val="en-US" w:eastAsia="zh-CN" w:bidi="ar-SA"/>
        </w:rPr>
        <w:t>（牵头单位：发改委）</w:t>
      </w:r>
    </w:p>
    <w:p>
      <w:pPr>
        <w:spacing w:line="590" w:lineRule="exact"/>
        <w:ind w:firstLine="640" w:firstLineChars="200"/>
        <w:rPr>
          <w:rFonts w:hint="default" w:ascii="Times New Roman" w:hAnsi="Times New Roman" w:eastAsia="楷体_GB2312" w:cs="Times New Roman"/>
          <w:kern w:val="2"/>
          <w:sz w:val="32"/>
          <w:szCs w:val="32"/>
          <w:lang w:val="en-US" w:eastAsia="zh-CN" w:bidi="ar-SA"/>
        </w:rPr>
      </w:pPr>
      <w:r>
        <w:rPr>
          <w:rFonts w:hint="default" w:ascii="Times New Roman" w:hAnsi="Times New Roman" w:eastAsia="楷体_GB2312" w:cs="Times New Roman"/>
          <w:sz w:val="32"/>
          <w:szCs w:val="32"/>
        </w:rPr>
        <w:t>61. 加强创业兴业正能量宣传。</w:t>
      </w:r>
      <w:r>
        <w:rPr>
          <w:rFonts w:hint="default" w:ascii="Times New Roman" w:hAnsi="Times New Roman" w:eastAsia="仿宋_GB2312" w:cs="Times New Roman"/>
          <w:snapToGrid w:val="0"/>
          <w:sz w:val="32"/>
          <w:szCs w:val="32"/>
        </w:rPr>
        <w:t>在主流媒体开设专栏，加大对企业家、个体工商户等群体及创业群体的正面宣传，进一步增强广大企业家荣誉感、获得感，</w:t>
      </w:r>
      <w:r>
        <w:rPr>
          <w:rFonts w:hint="default" w:ascii="Times New Roman" w:hAnsi="Times New Roman" w:eastAsia="仿宋_GB2312" w:cs="Times New Roman"/>
          <w:sz w:val="32"/>
          <w:szCs w:val="32"/>
        </w:rPr>
        <w:t>引导广大企业家赓续传承张謇企业家精神。</w:t>
      </w:r>
      <w:r>
        <w:rPr>
          <w:rFonts w:hint="default" w:ascii="Times New Roman" w:hAnsi="Times New Roman" w:eastAsia="楷体_GB2312" w:cs="Times New Roman"/>
          <w:kern w:val="2"/>
          <w:sz w:val="32"/>
          <w:szCs w:val="32"/>
          <w:lang w:val="en-US" w:eastAsia="zh-CN" w:bidi="ar-SA"/>
        </w:rPr>
        <w:t>（牵头单位：宣传部、发改委）</w:t>
      </w:r>
    </w:p>
    <w:p>
      <w:pPr>
        <w:spacing w:line="590" w:lineRule="exact"/>
        <w:ind w:firstLine="640" w:firstLineChars="200"/>
        <w:rPr>
          <w:rFonts w:hint="default" w:ascii="Times New Roman" w:hAnsi="Times New Roman" w:eastAsia="楷体_GB2312" w:cs="Times New Roman"/>
          <w:kern w:val="2"/>
          <w:sz w:val="32"/>
          <w:szCs w:val="32"/>
          <w:lang w:val="en-US" w:eastAsia="zh-CN" w:bidi="ar-SA"/>
        </w:rPr>
      </w:pPr>
      <w:r>
        <w:rPr>
          <w:rFonts w:hint="default" w:ascii="Times New Roman" w:hAnsi="Times New Roman" w:eastAsia="楷体_GB2312" w:cs="Times New Roman"/>
          <w:sz w:val="32"/>
          <w:szCs w:val="32"/>
        </w:rPr>
        <w:t>62. 持续强化平台聚才功能。</w:t>
      </w:r>
      <w:r>
        <w:rPr>
          <w:rFonts w:hint="default" w:ascii="Times New Roman" w:hAnsi="Times New Roman" w:eastAsia="仿宋_GB2312" w:cs="Times New Roman"/>
          <w:snapToGrid w:val="0"/>
          <w:sz w:val="32"/>
          <w:szCs w:val="32"/>
        </w:rPr>
        <w:t>加强与国内知名载体运营商联系，探索构建涵盖“众创空间+孵化器+加速器+产业园”的完整创业孵化链条，为入驻企业提供全生命周期的孵化服务。探索开发高层次人才线上申报、服务、管理平台，集项目申报、审核、后续跟踪服务为一体，提高线上线下人才服务信息和部门政务信息之间的流转效率，引导科创人才资源向如东集聚。成立如东青商顾问团队，开展“青商大走访”活动，举办“创青春”青年创新创业大赛。</w:t>
      </w:r>
      <w:r>
        <w:rPr>
          <w:rFonts w:hint="default" w:ascii="Times New Roman" w:hAnsi="Times New Roman" w:eastAsia="楷体_GB2312" w:cs="Times New Roman"/>
          <w:kern w:val="2"/>
          <w:sz w:val="32"/>
          <w:szCs w:val="32"/>
          <w:lang w:val="en-US" w:eastAsia="zh-CN" w:bidi="ar-SA"/>
        </w:rPr>
        <w:t>（牵头单位：组织部、科技局、财政局、团县委）</w:t>
      </w:r>
    </w:p>
    <w:p>
      <w:pPr>
        <w:spacing w:line="590" w:lineRule="exact"/>
        <w:ind w:firstLine="640" w:firstLineChars="200"/>
        <w:rPr>
          <w:rFonts w:hint="default" w:ascii="Times New Roman" w:hAnsi="Times New Roman" w:eastAsia="楷体_GB2312" w:cs="Times New Roman"/>
          <w:kern w:val="2"/>
          <w:sz w:val="32"/>
          <w:szCs w:val="32"/>
          <w:lang w:val="en-US" w:eastAsia="zh-CN" w:bidi="ar-SA"/>
        </w:rPr>
      </w:pPr>
      <w:r>
        <w:rPr>
          <w:rFonts w:hint="default" w:ascii="Times New Roman" w:hAnsi="Times New Roman" w:eastAsia="楷体_GB2312" w:cs="Times New Roman"/>
          <w:sz w:val="32"/>
          <w:szCs w:val="32"/>
        </w:rPr>
        <w:t>63. 线上线下优化企业用工服务机制。</w:t>
      </w:r>
      <w:r>
        <w:rPr>
          <w:rFonts w:hint="default" w:ascii="Times New Roman" w:hAnsi="Times New Roman" w:eastAsia="仿宋_GB2312" w:cs="Times New Roman"/>
          <w:sz w:val="32"/>
          <w:szCs w:val="32"/>
        </w:rPr>
        <w:t>深化“暖企行动”服务专员制度，为重大项目、重点企业持续开展政策宣传、岗位发布对接、用工指导等全过程、全周期服务。打造全媒体引才矩阵，将线下校园招聘、线上网络招聘有机结合。着力深化人才政策宣传，积极探索嵌入式、定制式、精准式的人才服务模式。全年组织各类现场招聘活动50场，适时组织企业赴外开展引才活动10场，提供高校毕业生就业岗位5000个。</w:t>
      </w:r>
      <w:r>
        <w:rPr>
          <w:rFonts w:hint="default" w:ascii="Times New Roman" w:hAnsi="Times New Roman" w:eastAsia="楷体_GB2312" w:cs="Times New Roman"/>
          <w:kern w:val="2"/>
          <w:sz w:val="32"/>
          <w:szCs w:val="32"/>
          <w:lang w:val="en-US" w:eastAsia="zh-CN" w:bidi="ar-SA"/>
        </w:rPr>
        <w:t>（牵头单位：人社局）</w:t>
      </w:r>
    </w:p>
    <w:p>
      <w:pPr>
        <w:spacing w:line="590" w:lineRule="exact"/>
        <w:ind w:firstLine="640" w:firstLineChars="200"/>
        <w:rPr>
          <w:rFonts w:hint="default" w:ascii="Times New Roman" w:hAnsi="Times New Roman" w:eastAsia="楷体_GB2312" w:cs="Times New Roman"/>
          <w:kern w:val="2"/>
          <w:sz w:val="32"/>
          <w:szCs w:val="32"/>
          <w:lang w:val="en-US" w:eastAsia="zh-CN" w:bidi="ar-SA"/>
        </w:rPr>
      </w:pPr>
      <w:r>
        <w:rPr>
          <w:rFonts w:hint="default" w:ascii="Times New Roman" w:hAnsi="Times New Roman" w:eastAsia="楷体_GB2312" w:cs="Times New Roman"/>
          <w:sz w:val="32"/>
          <w:szCs w:val="32"/>
        </w:rPr>
        <w:t>64. “量身定制”促就业，多层次开展职业技能培训。</w:t>
      </w:r>
      <w:r>
        <w:rPr>
          <w:rFonts w:hint="default" w:ascii="Times New Roman" w:hAnsi="Times New Roman" w:eastAsia="仿宋_GB2312" w:cs="Times New Roman"/>
          <w:sz w:val="32"/>
          <w:szCs w:val="32"/>
        </w:rPr>
        <w:t>推动产业工人队伍建设改革，建设知识型、技能型、创新型劳动者大军，支持和鼓励各类人才就业创业。推进校企合作，开展职业学校提质培优工作，每学年实现县内招生1200人，县外联合招生、实习就业500人。深化产教融合成果，全力支撑产业转型升级，开展职业技能培训不少于7000人次，优化高技能人才培养供给，激发创新创造活力，新增高技能人才培训1200人次，加强数字技能人才培养，服务数字经济高质量发展，新增数字技能人才培训800人次。持续开展创新创业培训，年培训不少于500人次。突出各类培训的针对性和有效性，提高劳动者技能素质，进一步稳定和扩大就业。</w:t>
      </w:r>
      <w:r>
        <w:rPr>
          <w:rFonts w:hint="default" w:ascii="Times New Roman" w:hAnsi="Times New Roman" w:eastAsia="楷体_GB2312" w:cs="Times New Roman"/>
          <w:kern w:val="2"/>
          <w:sz w:val="32"/>
          <w:szCs w:val="32"/>
          <w:lang w:val="en-US" w:eastAsia="zh-CN" w:bidi="ar-SA"/>
        </w:rPr>
        <w:t>（牵头单位：人社局、教体局、财政局、总工会）</w:t>
      </w:r>
    </w:p>
    <w:p>
      <w:pPr>
        <w:spacing w:line="590" w:lineRule="exact"/>
        <w:ind w:firstLine="640" w:firstLineChars="200"/>
        <w:rPr>
          <w:rFonts w:hint="default" w:ascii="Times New Roman" w:hAnsi="Times New Roman" w:eastAsia="楷体_GB2312" w:cs="Times New Roman"/>
          <w:kern w:val="2"/>
          <w:sz w:val="32"/>
          <w:szCs w:val="32"/>
          <w:lang w:val="en-US" w:eastAsia="zh-CN" w:bidi="ar-SA"/>
        </w:rPr>
      </w:pPr>
      <w:r>
        <w:rPr>
          <w:rFonts w:hint="default" w:ascii="Times New Roman" w:hAnsi="Times New Roman" w:eastAsia="楷体_GB2312" w:cs="Times New Roman"/>
          <w:sz w:val="32"/>
          <w:szCs w:val="32"/>
        </w:rPr>
        <w:t>65. 实施在如就业群体关怀行动。</w:t>
      </w:r>
      <w:r>
        <w:rPr>
          <w:rFonts w:hint="default" w:ascii="Times New Roman" w:hAnsi="Times New Roman" w:eastAsia="仿宋_GB2312" w:cs="Times New Roman"/>
          <w:sz w:val="32"/>
          <w:szCs w:val="32"/>
        </w:rPr>
        <w:t>按照“城市人口导入”和“住房优惠政策”相结合的思路，以真金白银吸引青年人才加速集聚，强化政策虹吸效应。优化“青年人才驿站”功能，对异地来通求职的高校应届毕业生提供免费申请入住服务，切实解决就业过渡期的住宿难题，打造集短期住宿、互动交流、职业教培、信息获取、学习成长于一体的综合服务平台。开展青年婚恋交友活动，面向广大适龄企业青年高频度开展婚恋教育、互动交友系列活动。定期组织开展一线职工疗休养，大力推动子女爱心托育托管服务、职工心理健康促进行动，加大对一线职工的关怀力度。依法保障招商引资企业职工和外来务工人员子女入学需求，及时帮助解决困难问题。</w:t>
      </w:r>
      <w:r>
        <w:rPr>
          <w:rFonts w:hint="default" w:ascii="Times New Roman" w:hAnsi="Times New Roman" w:eastAsia="楷体_GB2312" w:cs="Times New Roman"/>
          <w:kern w:val="2"/>
          <w:sz w:val="32"/>
          <w:szCs w:val="32"/>
          <w:lang w:val="en-US" w:eastAsia="zh-CN" w:bidi="ar-SA"/>
        </w:rPr>
        <w:t>（牵头单位：组织部、人社局、教体局、总工会、妇联、团县委）</w:t>
      </w:r>
    </w:p>
    <w:p>
      <w:pPr>
        <w:spacing w:line="590" w:lineRule="exact"/>
        <w:ind w:firstLine="640" w:firstLineChars="200"/>
        <w:rPr>
          <w:rFonts w:hint="default" w:ascii="Times New Roman" w:hAnsi="Times New Roman" w:eastAsia="楷体_GB2312" w:cs="Times New Roman"/>
          <w:kern w:val="2"/>
          <w:sz w:val="32"/>
          <w:szCs w:val="32"/>
          <w:lang w:val="en-US" w:eastAsia="zh-CN" w:bidi="ar-SA"/>
        </w:rPr>
      </w:pPr>
      <w:r>
        <w:rPr>
          <w:rFonts w:hint="default" w:ascii="Times New Roman" w:hAnsi="Times New Roman" w:eastAsia="楷体_GB2312" w:cs="Times New Roman"/>
          <w:sz w:val="32"/>
          <w:szCs w:val="32"/>
        </w:rPr>
        <w:t>66. 丰富企业职工文化生活。</w:t>
      </w:r>
      <w:r>
        <w:rPr>
          <w:rFonts w:hint="default" w:ascii="Times New Roman" w:hAnsi="Times New Roman" w:eastAsia="仿宋_GB2312" w:cs="Times New Roman"/>
          <w:sz w:val="32"/>
          <w:szCs w:val="32"/>
        </w:rPr>
        <w:t>统筹组织全县各专业院团进企演出。组织创作人员深入工厂采风，创作一批反映企业火热生活的文艺作品，积极动员参与首届南通市戏剧文学创作大赛。广泛开展各类文体活动，推动建设各具特色的“职工书屋”“网上书屋”，丰富职工文化娱乐。</w:t>
      </w:r>
      <w:r>
        <w:rPr>
          <w:rFonts w:hint="default" w:ascii="Times New Roman" w:hAnsi="Times New Roman" w:eastAsia="楷体_GB2312" w:cs="Times New Roman"/>
          <w:kern w:val="2"/>
          <w:sz w:val="32"/>
          <w:szCs w:val="32"/>
          <w:lang w:val="en-US" w:eastAsia="zh-CN" w:bidi="ar-SA"/>
        </w:rPr>
        <w:t>（牵头单位：宣传部、总工会、文广旅局，各镇〈区、街道〉）</w:t>
      </w:r>
    </w:p>
    <w:p>
      <w:pPr>
        <w:pStyle w:val="2"/>
        <w:rPr>
          <w:rFonts w:hint="default" w:ascii="Times New Roman" w:hAnsi="Times New Roman" w:cs="Times New Roman"/>
        </w:rPr>
      </w:pPr>
    </w:p>
    <w:sectPr>
      <w:footerReference r:id="rId3" w:type="default"/>
      <w:footerReference r:id="rId4" w:type="even"/>
      <w:pgSz w:w="11906" w:h="16838"/>
      <w:pgMar w:top="2098" w:right="1531" w:bottom="1757" w:left="1531" w:header="851" w:footer="1134"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方正仿宋_GBK">
    <w:panose1 w:val="03000509000000000000"/>
    <w:charset w:val="86"/>
    <w:family w:val="script"/>
    <w:pitch w:val="default"/>
    <w:sig w:usb0="00000001" w:usb1="080E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numPr>
        <w:ilvl w:val="0"/>
        <w:numId w:val="0"/>
      </w:numPr>
      <w:wordWrap w:val="0"/>
      <w:ind w:leftChars="0"/>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02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7"/>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wps:txbx>
                    <wps:bodyPr wrap="none" lIns="0" tIns="0" rIns="0" bIns="0" upright="0">
                      <a:spAutoFit/>
                    </wps:bodyPr>
                  </wps:wsp>
                </a:graphicData>
              </a:graphic>
            </wp:anchor>
          </w:drawing>
        </mc:Choice>
        <mc:Fallback>
          <w:pict>
            <v:shape id="文本框 1025"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">
              <v:fill on="f" focussize="0,0"/>
              <v:stroke on="f"/>
              <v:imagedata o:title=""/>
              <o:lock v:ext="edit" aspectratio="f"/>
              <v:textbox inset="0mm,0mm,0mm,0mm" style="mso-fit-shape-to-text:t;">
                <w:txbxContent>
                  <w:p>
                    <w:pPr>
                      <w:pStyle w:val="7"/>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Pr>
    <w:r>
      <w:rPr>
        <w:sz w:val="18"/>
      </w:rP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0</wp:posOffset>
              </wp:positionV>
              <wp:extent cx="1828800" cy="1828800"/>
              <wp:effectExtent l="0" t="0" r="0" b="0"/>
              <wp:wrapNone/>
              <wp:docPr id="2" name="文本框 102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7"/>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2</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wps:txbx>
                    <wps:bodyPr wrap="none" lIns="0" tIns="0" rIns="0" bIns="0" upright="0">
                      <a:spAutoFit/>
                    </wps:bodyPr>
                  </wps:wsp>
                </a:graphicData>
              </a:graphic>
            </wp:anchor>
          </w:drawing>
        </mc:Choice>
        <mc:Fallback>
          <w:pict>
            <v:shape id="文本框 1026" o:spid="_x0000_s1026" o:spt="202" type="#_x0000_t202" style="position:absolute;left:0pt;margin-top:0pt;height:144pt;width:144pt;mso-position-horizontal:outside;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">
              <v:fill on="f" focussize="0,0"/>
              <v:stroke on="f"/>
              <v:imagedata o:title=""/>
              <o:lock v:ext="edit" aspectratio="f"/>
              <v:textbox inset="0mm,0mm,0mm,0mm" style="mso-fit-shape-to-text:t;">
                <w:txbxContent>
                  <w:p>
                    <w:pPr>
                      <w:pStyle w:val="7"/>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2</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evenAndOddHeaders w:val="1"/>
  <w:drawingGridVerticalSpacing w:val="156"/>
  <w:displayHorizontalDrawingGridEvery w:val="1"/>
  <w:displayVerticalDrawingGridEvery w:val="1"/>
  <w:noPunctuationKerning w:val="1"/>
  <w:characterSpacingControl w:val="compressPunctuation"/>
  <w:hdrShapeDefaults>
    <o:shapelayout v:ext="edit">
      <o:idmap v:ext="edit" data="3,4"/>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BmZGEwY2I5NzM1YjIwMjBmNWIzMzJiMzA5N2ZjMDcifQ=="/>
  </w:docVars>
  <w:rsids>
    <w:rsidRoot w:val="00086289"/>
    <w:rsid w:val="00086289"/>
    <w:rsid w:val="00171B47"/>
    <w:rsid w:val="00211989"/>
    <w:rsid w:val="0031209E"/>
    <w:rsid w:val="00372EB6"/>
    <w:rsid w:val="003A7687"/>
    <w:rsid w:val="00411975"/>
    <w:rsid w:val="004144FE"/>
    <w:rsid w:val="00456A83"/>
    <w:rsid w:val="004D0235"/>
    <w:rsid w:val="005054DC"/>
    <w:rsid w:val="005828EB"/>
    <w:rsid w:val="005E1C85"/>
    <w:rsid w:val="0062049B"/>
    <w:rsid w:val="006E79FA"/>
    <w:rsid w:val="007842F8"/>
    <w:rsid w:val="007E0FBA"/>
    <w:rsid w:val="007E25C7"/>
    <w:rsid w:val="009016B7"/>
    <w:rsid w:val="00AC7836"/>
    <w:rsid w:val="00AD296A"/>
    <w:rsid w:val="00B2286E"/>
    <w:rsid w:val="00B406E7"/>
    <w:rsid w:val="00BD502F"/>
    <w:rsid w:val="00C10F1B"/>
    <w:rsid w:val="00C41B00"/>
    <w:rsid w:val="00CA27BE"/>
    <w:rsid w:val="00D3752B"/>
    <w:rsid w:val="00DE367B"/>
    <w:rsid w:val="00E64AB0"/>
    <w:rsid w:val="00EA67D2"/>
    <w:rsid w:val="00EC2D92"/>
    <w:rsid w:val="039323B3"/>
    <w:rsid w:val="06BF225A"/>
    <w:rsid w:val="06E47885"/>
    <w:rsid w:val="07F401D9"/>
    <w:rsid w:val="081E5002"/>
    <w:rsid w:val="082668AA"/>
    <w:rsid w:val="089E41F9"/>
    <w:rsid w:val="09285D38"/>
    <w:rsid w:val="09FB6786"/>
    <w:rsid w:val="0B1F4CB6"/>
    <w:rsid w:val="0C2B34BD"/>
    <w:rsid w:val="0DBB6F92"/>
    <w:rsid w:val="0E065464"/>
    <w:rsid w:val="0E29512D"/>
    <w:rsid w:val="11730AA5"/>
    <w:rsid w:val="124977B2"/>
    <w:rsid w:val="124C7AD0"/>
    <w:rsid w:val="14A218EB"/>
    <w:rsid w:val="170D58AF"/>
    <w:rsid w:val="175C01E7"/>
    <w:rsid w:val="18D9662B"/>
    <w:rsid w:val="19CB5A3F"/>
    <w:rsid w:val="1E9C6ABE"/>
    <w:rsid w:val="1EBD54BE"/>
    <w:rsid w:val="1F8C4DD2"/>
    <w:rsid w:val="1F8D386E"/>
    <w:rsid w:val="20AE3935"/>
    <w:rsid w:val="21DA368E"/>
    <w:rsid w:val="226F6EA8"/>
    <w:rsid w:val="235F0C06"/>
    <w:rsid w:val="23EB070C"/>
    <w:rsid w:val="24684E10"/>
    <w:rsid w:val="26446A4B"/>
    <w:rsid w:val="27082D2D"/>
    <w:rsid w:val="27313E9F"/>
    <w:rsid w:val="28757E5C"/>
    <w:rsid w:val="29B943E1"/>
    <w:rsid w:val="2AB85CE8"/>
    <w:rsid w:val="2E44418B"/>
    <w:rsid w:val="2E9F273A"/>
    <w:rsid w:val="2EFB7330"/>
    <w:rsid w:val="2F7474BD"/>
    <w:rsid w:val="2F8D692B"/>
    <w:rsid w:val="30386155"/>
    <w:rsid w:val="332F3905"/>
    <w:rsid w:val="33424ABD"/>
    <w:rsid w:val="34FA2575"/>
    <w:rsid w:val="35044DB8"/>
    <w:rsid w:val="364503A9"/>
    <w:rsid w:val="364D067F"/>
    <w:rsid w:val="3B1B2138"/>
    <w:rsid w:val="3BF63B0E"/>
    <w:rsid w:val="3C0E0330"/>
    <w:rsid w:val="3FBA5F9D"/>
    <w:rsid w:val="40446489"/>
    <w:rsid w:val="428002FE"/>
    <w:rsid w:val="43C97219"/>
    <w:rsid w:val="44206C50"/>
    <w:rsid w:val="453D4A28"/>
    <w:rsid w:val="474A246F"/>
    <w:rsid w:val="477B5EE9"/>
    <w:rsid w:val="4BBE2AF4"/>
    <w:rsid w:val="4C177144"/>
    <w:rsid w:val="4F53600D"/>
    <w:rsid w:val="525B5CDA"/>
    <w:rsid w:val="52F009E7"/>
    <w:rsid w:val="531F50DA"/>
    <w:rsid w:val="549F43A7"/>
    <w:rsid w:val="54C73BFF"/>
    <w:rsid w:val="56024AF9"/>
    <w:rsid w:val="57ED02EC"/>
    <w:rsid w:val="58533496"/>
    <w:rsid w:val="58856269"/>
    <w:rsid w:val="591A18E4"/>
    <w:rsid w:val="591F04D8"/>
    <w:rsid w:val="5A6659CA"/>
    <w:rsid w:val="5C264D19"/>
    <w:rsid w:val="5CF76A03"/>
    <w:rsid w:val="5D1412F4"/>
    <w:rsid w:val="61313770"/>
    <w:rsid w:val="627313F7"/>
    <w:rsid w:val="629E17B8"/>
    <w:rsid w:val="632E4715"/>
    <w:rsid w:val="64887E94"/>
    <w:rsid w:val="649861ED"/>
    <w:rsid w:val="649E3104"/>
    <w:rsid w:val="6798708C"/>
    <w:rsid w:val="691A32DB"/>
    <w:rsid w:val="71184876"/>
    <w:rsid w:val="724A3DC6"/>
    <w:rsid w:val="72A44525"/>
    <w:rsid w:val="73074BC3"/>
    <w:rsid w:val="745F48D4"/>
    <w:rsid w:val="77F57F97"/>
    <w:rsid w:val="79882497"/>
    <w:rsid w:val="7A192A3E"/>
    <w:rsid w:val="7BA82B1B"/>
    <w:rsid w:val="7C5F3A47"/>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iPriority="99"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qFormat="1" w:unhideWhenUsed="0" w:uiPriority="99"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12">
    <w:name w:val="Default Paragraph Font"/>
    <w:semiHidden/>
    <w:unhideWhenUsed/>
    <w:qFormat/>
    <w:uiPriority w:val="1"/>
  </w:style>
  <w:style w:type="table" w:default="1" w:styleId="11">
    <w:name w:val="Normal Table"/>
    <w:semiHidden/>
    <w:unhideWhenUsed/>
    <w:qFormat/>
    <w:uiPriority w:val="99"/>
    <w:tblPr>
      <w:tblCellMar>
        <w:top w:w="0" w:type="dxa"/>
        <w:left w:w="108" w:type="dxa"/>
        <w:bottom w:w="0" w:type="dxa"/>
        <w:right w:w="108" w:type="dxa"/>
      </w:tblCellMar>
    </w:tblPr>
  </w:style>
  <w:style w:type="paragraph" w:styleId="2">
    <w:name w:val="Normal Indent"/>
    <w:basedOn w:val="1"/>
    <w:next w:val="1"/>
    <w:unhideWhenUsed/>
    <w:qFormat/>
    <w:uiPriority w:val="99"/>
    <w:pPr>
      <w:ind w:firstLine="420" w:firstLineChars="200"/>
    </w:pPr>
    <w:rPr>
      <w:rFonts w:eastAsia="仿宋_GB2312"/>
      <w:sz w:val="32"/>
      <w:szCs w:val="32"/>
    </w:rPr>
  </w:style>
  <w:style w:type="paragraph" w:styleId="3">
    <w:name w:val="Body Text"/>
    <w:basedOn w:val="1"/>
    <w:qFormat/>
    <w:uiPriority w:val="0"/>
    <w:pPr>
      <w:spacing w:after="120"/>
    </w:pPr>
  </w:style>
  <w:style w:type="paragraph" w:styleId="4">
    <w:name w:val="Body Text Indent"/>
    <w:basedOn w:val="1"/>
    <w:qFormat/>
    <w:uiPriority w:val="99"/>
    <w:pPr>
      <w:spacing w:after="120"/>
      <w:ind w:left="420" w:leftChars="200"/>
    </w:pPr>
    <w:rPr>
      <w:rFonts w:eastAsia="宋体"/>
      <w:szCs w:val="21"/>
    </w:rPr>
  </w:style>
  <w:style w:type="paragraph" w:styleId="5">
    <w:name w:val="Block Text"/>
    <w:basedOn w:val="1"/>
    <w:qFormat/>
    <w:uiPriority w:val="99"/>
    <w:pPr>
      <w:spacing w:after="120"/>
      <w:ind w:left="1440" w:leftChars="700" w:right="700" w:rightChars="700"/>
    </w:pPr>
    <w:rPr>
      <w:rFonts w:eastAsia="宋体"/>
      <w:szCs w:val="21"/>
    </w:rPr>
  </w:style>
  <w:style w:type="paragraph" w:styleId="6">
    <w:name w:val="Balloon Text"/>
    <w:basedOn w:val="1"/>
    <w:link w:val="15"/>
    <w:qFormat/>
    <w:uiPriority w:val="0"/>
    <w:rPr>
      <w:sz w:val="18"/>
      <w:szCs w:val="18"/>
    </w:rPr>
  </w:style>
  <w:style w:type="paragraph" w:styleId="7">
    <w:name w:val="footer"/>
    <w:basedOn w:val="1"/>
    <w:link w:val="14"/>
    <w:qFormat/>
    <w:uiPriority w:val="99"/>
    <w:pPr>
      <w:tabs>
        <w:tab w:val="center" w:pos="4153"/>
        <w:tab w:val="right" w:pos="8306"/>
      </w:tabs>
      <w:snapToGrid w:val="0"/>
      <w:jc w:val="left"/>
    </w:pPr>
    <w:rPr>
      <w:sz w:val="18"/>
      <w:szCs w:val="18"/>
    </w:rPr>
  </w:style>
  <w:style w:type="paragraph" w:styleId="8">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9">
    <w:name w:val="Normal (Web)"/>
    <w:basedOn w:val="1"/>
    <w:qFormat/>
    <w:uiPriority w:val="0"/>
    <w:pPr>
      <w:autoSpaceDE w:val="0"/>
      <w:autoSpaceDN w:val="0"/>
      <w:snapToGrid w:val="0"/>
      <w:spacing w:beforeAutospacing="1" w:afterAutospacing="1" w:line="590" w:lineRule="atLeast"/>
      <w:ind w:firstLine="624"/>
      <w:jc w:val="left"/>
    </w:pPr>
    <w:rPr>
      <w:rFonts w:ascii="Times New Roman" w:hAnsi="Times New Roman" w:eastAsia="方正仿宋_GBK" w:cs="Times New Roman"/>
      <w:snapToGrid w:val="0"/>
      <w:kern w:val="0"/>
      <w:sz w:val="24"/>
      <w:szCs w:val="20"/>
    </w:rPr>
  </w:style>
  <w:style w:type="paragraph" w:styleId="10">
    <w:name w:val="Body Text First Indent 2"/>
    <w:basedOn w:val="4"/>
    <w:next w:val="5"/>
    <w:qFormat/>
    <w:uiPriority w:val="99"/>
    <w:pPr>
      <w:spacing w:after="0"/>
      <w:ind w:left="0" w:leftChars="0" w:firstLine="420" w:firstLineChars="200"/>
    </w:pPr>
    <w:rPr>
      <w:sz w:val="32"/>
      <w:szCs w:val="32"/>
    </w:rPr>
  </w:style>
  <w:style w:type="paragraph" w:styleId="13">
    <w:name w:val="List Paragraph"/>
    <w:basedOn w:val="1"/>
    <w:qFormat/>
    <w:uiPriority w:val="34"/>
    <w:pPr>
      <w:ind w:firstLine="420" w:firstLineChars="200"/>
    </w:pPr>
  </w:style>
  <w:style w:type="character" w:customStyle="1" w:styleId="14">
    <w:name w:val="页脚 Char"/>
    <w:basedOn w:val="12"/>
    <w:link w:val="7"/>
    <w:qFormat/>
    <w:uiPriority w:val="99"/>
    <w:rPr>
      <w:rFonts w:asciiTheme="minorHAnsi" w:hAnsiTheme="minorHAnsi" w:eastAsiaTheme="minorEastAsia" w:cstheme="minorBidi"/>
      <w:kern w:val="2"/>
      <w:sz w:val="18"/>
      <w:szCs w:val="18"/>
    </w:rPr>
  </w:style>
  <w:style w:type="character" w:customStyle="1" w:styleId="15">
    <w:name w:val="批注框文本 Char"/>
    <w:basedOn w:val="12"/>
    <w:link w:val="6"/>
    <w:qFormat/>
    <w:uiPriority w:val="0"/>
    <w:rPr>
      <w:rFonts w:asciiTheme="minorHAnsi" w:hAnsiTheme="minorHAnsi" w:eastAsiaTheme="minorEastAsia" w:cstheme="minorBidi"/>
      <w:kern w:val="2"/>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29</Pages>
  <Words>2422</Words>
  <Characters>13809</Characters>
  <Lines>115</Lines>
  <Paragraphs>32</Paragraphs>
  <TotalTime>14</TotalTime>
  <ScaleCrop>false</ScaleCrop>
  <LinksUpToDate>false</LinksUpToDate>
  <CharactersWithSpaces>16199</CharactersWithSpaces>
  <Application>WPS Office_12.1.0.16120_F1E327BC-269C-435d-A152-05C5408002CA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2023-05-17T17:16:00Z</dcterms:created>
  <dc:creator>Administrator</dc:creator>
  <cp:lastModifiedBy>E小调</cp:lastModifiedBy>
  <cp:lastPrinted>2023-05-17T08:52:00Z</cp:lastPrinted>
  <dcterms:modified xsi:type="dcterms:W3CDTF">2024-01-08T02:28:29Z</dcterms:modified>
  <cp:revision>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F6DC6844954947F4AC629BF9BC5424DE_13</vt:lpwstr>
  </property>
</Properties>
</file>