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 w:lineRule="exact"/>
        <w:rPr>
          <w:rFonts w:hint="eastAsia"/>
        </w:rPr>
      </w:pPr>
    </w:p>
    <w:p>
      <w:pPr>
        <w:spacing w:line="20" w:lineRule="exact"/>
      </w:pPr>
      <w:r>
        <w:rPr>
          <w:rFonts w:hint="eastAsia"/>
        </w:rPr>
        <w:t xml:space="preserve">                                                                                                                                                                                                                                                                                                                                                                                                                                                                                                                                                                                                                                 </w:t>
      </w:r>
    </w:p>
    <w:p>
      <w:pPr>
        <w:spacing w:line="20" w:lineRule="exact"/>
      </w:pPr>
    </w:p>
    <w:p>
      <w:pPr>
        <w:spacing w:line="20" w:lineRule="exact"/>
      </w:pPr>
    </w:p>
    <w:p>
      <w:pPr>
        <w:spacing w:line="20" w:lineRule="exact"/>
      </w:pPr>
    </w:p>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2024年全县交通运输安全生产工作要点</w:t>
      </w:r>
    </w:p>
    <w:p>
      <w:pPr>
        <w:keepNext w:val="0"/>
        <w:keepLines w:val="0"/>
        <w:pageBreakBefore w:val="0"/>
        <w:widowControl/>
        <w:kinsoku/>
        <w:wordWrap/>
        <w:topLinePunct w:val="0"/>
        <w:autoSpaceDE/>
        <w:autoSpaceDN/>
        <w:bidi w:val="0"/>
        <w:spacing w:line="62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2024年全县交通运输安全生产工作的总体要求：</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仿宋_GB2312" w:cs="Times New Roman"/>
          <w:snapToGrid w:val="0"/>
          <w:color w:val="000000" w:themeColor="text1"/>
          <w:kern w:val="0"/>
          <w:sz w:val="32"/>
          <w:szCs w:val="32"/>
          <w14:textFill>
            <w14:solidFill>
              <w14:schemeClr w14:val="tx1"/>
            </w14:solidFill>
          </w14:textFill>
        </w:rPr>
      </w:pPr>
      <w:r>
        <w:rPr>
          <w:rFonts w:ascii="Times New Roman" w:hAnsi="Times New Roman" w:eastAsia="仿宋_GB2312" w:cs="Times New Roman"/>
          <w:snapToGrid w:val="0"/>
          <w:color w:val="000000" w:themeColor="text1"/>
          <w:kern w:val="0"/>
          <w:sz w:val="32"/>
          <w:szCs w:val="32"/>
          <w14:textFill>
            <w14:solidFill>
              <w14:schemeClr w14:val="tx1"/>
            </w14:solidFill>
          </w14:textFill>
        </w:rPr>
        <w:t>以习近平新时代中国特色社会主义思想为指导，牢固树立以人民为中心的发展思想，</w:t>
      </w:r>
      <w:r>
        <w:rPr>
          <w:rFonts w:ascii="Times New Roman" w:hAnsi="Times New Roman" w:eastAsia="仿宋_GB2312" w:cs="Times New Roman"/>
          <w:color w:val="000000" w:themeColor="text1"/>
          <w:sz w:val="32"/>
          <w:szCs w:val="32"/>
          <w14:textFill>
            <w14:solidFill>
              <w14:schemeClr w14:val="tx1"/>
            </w14:solidFill>
          </w14:textFill>
        </w:rPr>
        <w:t>认真落实省、市、县各级各部门决策部署，</w:t>
      </w:r>
      <w:r>
        <w:rPr>
          <w:rFonts w:ascii="Times New Roman" w:hAnsi="Times New Roman" w:eastAsia="仿宋_GB2312" w:cs="Times New Roman"/>
          <w:snapToGrid w:val="0"/>
          <w:color w:val="000000" w:themeColor="text1"/>
          <w:kern w:val="0"/>
          <w:sz w:val="32"/>
          <w:szCs w:val="32"/>
          <w14:textFill>
            <w14:solidFill>
              <w14:schemeClr w14:val="tx1"/>
            </w14:solidFill>
          </w14:textFill>
        </w:rPr>
        <w:t>坚持人民至上、生命至上，坚持安全第一、预防为主，</w:t>
      </w:r>
      <w:r>
        <w:rPr>
          <w:rFonts w:ascii="Times New Roman" w:hAnsi="Times New Roman" w:eastAsia="仿宋_GB2312" w:cs="Times New Roman"/>
          <w:color w:val="000000" w:themeColor="text1"/>
          <w:sz w:val="32"/>
          <w:szCs w:val="32"/>
          <w14:textFill>
            <w14:solidFill>
              <w14:schemeClr w14:val="tx1"/>
            </w14:solidFill>
          </w14:textFill>
        </w:rPr>
        <w:t>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制度化管理、实时化监控、自动化阻隔、现代化救援</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四项举措为抓手，以安全生产治本攻坚三年行动、消防安全集中除患攻坚大整治行动等为主线，</w:t>
      </w:r>
      <w:r>
        <w:rPr>
          <w:rFonts w:ascii="Times New Roman" w:hAnsi="Times New Roman" w:eastAsia="仿宋_GB2312" w:cs="Times New Roman"/>
          <w:snapToGrid w:val="0"/>
          <w:color w:val="000000" w:themeColor="text1"/>
          <w:kern w:val="0"/>
          <w:sz w:val="32"/>
          <w:szCs w:val="32"/>
          <w14:textFill>
            <w14:solidFill>
              <w14:schemeClr w14:val="tx1"/>
            </w14:solidFill>
          </w14:textFill>
        </w:rPr>
        <w:t>推动交通运输安全生产治理模式向事前预防转型，坚决遏制重特大事故发生，为交通强国建设和当好中国式现代化开路先锋提供坚实的安全发展保障。</w:t>
      </w:r>
      <w:r>
        <w:rPr>
          <w:rFonts w:ascii="Times New Roman" w:hAnsi="Times New Roman" w:eastAsia="仿宋_GB2312" w:cs="Times New Roman"/>
          <w:color w:val="000000" w:themeColor="text1"/>
          <w:sz w:val="32"/>
          <w:szCs w:val="32"/>
          <w14:textFill>
            <w14:solidFill>
              <w14:schemeClr w14:val="tx1"/>
            </w14:solidFill>
          </w14:textFill>
        </w:rPr>
        <w:t>工作目标：有效控制交通运输安全生产亡人事故，</w:t>
      </w:r>
      <w:r>
        <w:rPr>
          <w:rFonts w:ascii="Times New Roman" w:hAnsi="Times New Roman" w:eastAsia="仿宋_GB2312" w:cs="Times New Roman"/>
          <w:snapToGrid w:val="0"/>
          <w:color w:val="000000" w:themeColor="text1"/>
          <w:kern w:val="0"/>
          <w:sz w:val="32"/>
          <w:szCs w:val="32"/>
          <w14:textFill>
            <w14:solidFill>
              <w14:schemeClr w14:val="tx1"/>
            </w14:solidFill>
          </w14:textFill>
        </w:rPr>
        <w:t>坚决杜绝发生重特大生产安全事故，</w:t>
      </w:r>
      <w:r>
        <w:rPr>
          <w:rFonts w:ascii="Times New Roman" w:hAnsi="Times New Roman" w:eastAsia="仿宋_GB2312" w:cs="Times New Roman"/>
          <w:color w:val="000000" w:themeColor="text1"/>
          <w:sz w:val="32"/>
          <w:szCs w:val="32"/>
          <w14:textFill>
            <w14:solidFill>
              <w14:schemeClr w14:val="tx1"/>
            </w14:solidFill>
          </w14:textFill>
        </w:rPr>
        <w:t>确保完成上级下达的各项安全生产任务</w:t>
      </w:r>
      <w:r>
        <w:rPr>
          <w:rFonts w:ascii="Times New Roman" w:hAnsi="Times New Roman" w:eastAsia="仿宋_GB2312" w:cs="Times New Roman"/>
          <w:snapToGrid w:val="0"/>
          <w:color w:val="000000" w:themeColor="text1"/>
          <w:kern w:val="0"/>
          <w:sz w:val="32"/>
          <w:szCs w:val="32"/>
          <w14:textFill>
            <w14:solidFill>
              <w14:schemeClr w14:val="tx1"/>
            </w14:solidFill>
          </w14:textFill>
        </w:rPr>
        <w:t>，全力确保我县交通运输行业安全生产形势持续稳定。</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一、深入学习习近平总书记关于安全生产重要论述</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 持续抓好学习宣贯。</w:t>
      </w:r>
      <w:r>
        <w:rPr>
          <w:rFonts w:ascii="Times New Roman" w:hAnsi="Times New Roman" w:eastAsia="仿宋_GB2312" w:cs="Times New Roman"/>
          <w:color w:val="000000" w:themeColor="text1"/>
          <w:sz w:val="32"/>
          <w:szCs w:val="32"/>
          <w14:textFill>
            <w14:solidFill>
              <w14:schemeClr w14:val="tx1"/>
            </w14:solidFill>
          </w14:textFill>
        </w:rPr>
        <w:t>学习贯彻总体国家安全观，积极落实省、市、县关于安全生产决策部署，统筹推进交通运输安全生产工作。每季度局党组至少研究1次安全生产工作；每季度局安委会至少召开1次全体会议，及时传达学习习近平总书记关于安全生产重要论述和指示批示精神和新出台的安全生产标准规范，分析研判安全生产形势，研究部署重点任务；根据工作需要，召开局办公会研究解决重点难点问题。</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局党组会及时学习、传达上级重要指示、文件、会议精神。</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2. 深入开展教育培训。</w:t>
      </w:r>
      <w:r>
        <w:rPr>
          <w:rFonts w:ascii="Times New Roman" w:hAnsi="Times New Roman" w:eastAsia="仿宋_GB2312" w:cs="Times New Roman"/>
          <w:color w:val="000000" w:themeColor="text1"/>
          <w:sz w:val="32"/>
          <w:szCs w:val="32"/>
          <w14:textFill>
            <w14:solidFill>
              <w14:schemeClr w14:val="tx1"/>
            </w14:solidFill>
          </w14:textFill>
        </w:rPr>
        <w:t>学深悟透习近平总书记关于安全生产重要论述，局党组理论学习中心组适时组织集体学习。及时传达学习习近平总书记关于安全生产工作的重要指示批示精神，研究制定针对性工作措施，每季度不少于一次集体学习。建立综合安全监管队伍培训教育体系，局安委办组织开展1次全系统安全监管业务骨干培训，各科室、各单位组织本行业、本单位内部安全干部业务培训，将习近平总书记关于安全生产重要论述、新出台的安全生产标准规范等纳入培训重要内容，提升安全监管人员业务技能。</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二、压实安全生产工作责任</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3. 强化党政领导责任。</w:t>
      </w:r>
      <w:r>
        <w:rPr>
          <w:rFonts w:ascii="Times New Roman" w:hAnsi="Times New Roman" w:eastAsia="仿宋_GB2312" w:cs="Times New Roman"/>
          <w:color w:val="000000" w:themeColor="text1"/>
          <w:sz w:val="32"/>
          <w:szCs w:val="32"/>
          <w14:textFill>
            <w14:solidFill>
              <w14:schemeClr w14:val="tx1"/>
            </w14:solidFill>
          </w14:textFill>
        </w:rPr>
        <w:t>按照</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党政同责、一岗双责、齐抓共管、失职追责</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要求，修编《县交通运输局领导安全生产职责清单》。细化完善各级班子成员安全生产工作职责清单，推动安全生产履职内容必须列入各级班子和班子成员年度述职报告。严格执行领导挂钩联系督查制度，全年局领导带队检查分别不少于4次。</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4. 强化行业监管责任。</w:t>
      </w:r>
      <w:r>
        <w:rPr>
          <w:rFonts w:ascii="Times New Roman" w:hAnsi="Times New Roman" w:eastAsia="仿宋_GB2312" w:cs="Times New Roman"/>
          <w:color w:val="000000" w:themeColor="text1"/>
          <w:sz w:val="32"/>
          <w:szCs w:val="32"/>
          <w14:textFill>
            <w14:solidFill>
              <w14:schemeClr w14:val="tx1"/>
            </w14:solidFill>
          </w14:textFill>
        </w:rPr>
        <w:t>推动建立事前事中事后一体化监管体系，在事前环节严格把关安全生产条件，在事中事后环节督促管理对象严格保持安全生产条件。继续修订完善科室和单位安全生产责任制度，编制完善安全生产责任清单和权力清单，按照清单履职尽责，严防监管责任缺位，确保交通运输各行业领域安全生产责任全覆盖。根据市委市政府巡查督办要求，完善安全生产事故隐患举报奖励制度、交通运输隐患排查治理工作制度等，不断规范监管流程。组织制定年度交通运输消防工作任务分工表，落实消防安全责任。</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5. 强化企业主体责任。</w:t>
      </w:r>
      <w:r>
        <w:rPr>
          <w:rFonts w:ascii="Times New Roman" w:hAnsi="Times New Roman" w:eastAsia="仿宋_GB2312" w:cs="Times New Roman"/>
          <w:color w:val="000000" w:themeColor="text1"/>
          <w:sz w:val="32"/>
          <w:szCs w:val="32"/>
          <w14:textFill>
            <w14:solidFill>
              <w14:schemeClr w14:val="tx1"/>
            </w14:solidFill>
          </w14:textFill>
        </w:rPr>
        <w:t>指导交通运输企业对照企业主体责任重点事项清单和责任清单要求，建立健全全员安全生产责任制，保障必要的安全生产投入，加强劳务派遣和灵活用工人员安全管理，实现全员化、常态化隐患排查治理。督促指导生产经营单位法定代表人、实际控制人、实际负责人严格履行安全生产第一责任人责任，主要负责人每月至少带队开展安全生产检查1次，每半年至少组织应急演练1次。全面推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道路运输等重点领域企业主要负责人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一述三评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制度。指导重点领域企业组建安全生产协作组、安全生产联盟等，通过采取互帮、互助、互学的方式，不断打造</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自律、互促、联保</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的良性安全管理生态。</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spacing w:val="-6"/>
        </w:rPr>
      </w:pPr>
      <w:r>
        <w:rPr>
          <w:rFonts w:hint="default" w:ascii="Times New Roman" w:hAnsi="Times New Roman" w:eastAsia="楷体_GB2312" w:cs="Times New Roman"/>
          <w:b/>
          <w:bCs/>
          <w:color w:val="000000" w:themeColor="text1"/>
          <w:sz w:val="32"/>
          <w:szCs w:val="32"/>
          <w14:textFill>
            <w14:solidFill>
              <w14:schemeClr w14:val="tx1"/>
            </w14:solidFill>
          </w14:textFill>
        </w:rPr>
        <w:t>6. 严格目标责任考核。</w:t>
      </w:r>
      <w:r>
        <w:rPr>
          <w:rFonts w:hint="default" w:ascii="Times New Roman" w:hAnsi="Times New Roman" w:eastAsia="仿宋_GB2312" w:cs="Times New Roman"/>
          <w:color w:val="000000" w:themeColor="text1"/>
          <w:sz w:val="32"/>
          <w:szCs w:val="32"/>
          <w14:textFill>
            <w14:solidFill>
              <w14:schemeClr w14:val="tx1"/>
            </w14:solidFill>
          </w14:textFill>
        </w:rPr>
        <w:t>严格执行</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督查督办</w:t>
      </w:r>
      <w:r>
        <w:rPr>
          <w:rFonts w:hint="default" w:ascii="Times New Roman" w:hAnsi="Times New Roman" w:eastAsia="仿宋_GB2312" w:cs="Times New Roman"/>
          <w:color w:val="000000" w:themeColor="text1"/>
          <w:sz w:val="32"/>
          <w:szCs w:val="32"/>
          <w14:textFill>
            <w14:solidFill>
              <w14:schemeClr w14:val="tx1"/>
            </w14:solidFill>
          </w14:textFill>
        </w:rPr>
        <w:t>制度机制，强化对重点工作事项的督导检查</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提升统筹协调和督查督办针对性、有效性。</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健全</w:t>
      </w:r>
      <w:r>
        <w:rPr>
          <w:rFonts w:hint="default" w:ascii="Times New Roman" w:hAnsi="Times New Roman" w:eastAsia="仿宋_GB2312" w:cs="Times New Roman"/>
          <w:color w:val="000000" w:themeColor="text1"/>
          <w:sz w:val="32"/>
          <w:szCs w:val="32"/>
          <w14:textFill>
            <w14:solidFill>
              <w14:schemeClr w14:val="tx1"/>
            </w14:solidFill>
          </w14:textFill>
        </w:rPr>
        <w:t>条块结合、上下联动、奖罚分明的考核体系，进一步完善优化考核机制、内容和方式，加强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各科室、各单位</w:t>
      </w:r>
      <w:r>
        <w:rPr>
          <w:rFonts w:hint="default" w:ascii="Times New Roman" w:hAnsi="Times New Roman" w:eastAsia="仿宋_GB2312" w:cs="Times New Roman"/>
          <w:color w:val="000000" w:themeColor="text1"/>
          <w:sz w:val="32"/>
          <w:szCs w:val="32"/>
          <w14:textFill>
            <w14:solidFill>
              <w14:schemeClr w14:val="tx1"/>
            </w14:solidFill>
          </w14:textFill>
        </w:rPr>
        <w:t>安全责任落实情况考核</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科学运用安全生产考核成果，建立安全生产绩</w:t>
      </w:r>
      <w:r>
        <w:rPr>
          <w:rFonts w:hint="default" w:ascii="Times New Roman" w:hAnsi="Times New Roman" w:eastAsia="仿宋_GB2312" w:cs="Times New Roman"/>
          <w:color w:val="000000" w:themeColor="text1"/>
          <w:spacing w:val="-6"/>
          <w:sz w:val="32"/>
          <w:szCs w:val="32"/>
          <w14:textFill>
            <w14:solidFill>
              <w14:schemeClr w14:val="tx1"/>
            </w14:solidFill>
          </w14:textFill>
        </w:rPr>
        <w:t>效与履职评定、职务晋升、奖励惩处挂钩制度，严格落实有影响事故和有影响事件扣分机制，严格执行安全生产</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6"/>
          <w:sz w:val="32"/>
          <w:szCs w:val="32"/>
          <w14:textFill>
            <w14:solidFill>
              <w14:schemeClr w14:val="tx1"/>
            </w14:solidFill>
          </w14:textFill>
        </w:rPr>
        <w:t>一票否决</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6"/>
          <w:sz w:val="32"/>
          <w:szCs w:val="32"/>
          <w14:textFill>
            <w14:solidFill>
              <w14:schemeClr w14:val="tx1"/>
            </w14:solidFill>
          </w14:textFill>
        </w:rPr>
        <w:t>制度。</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三、提升安全生产治理能力</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7</w:t>
      </w:r>
      <w:r>
        <w:rPr>
          <w:rFonts w:ascii="Times New Roman" w:hAnsi="Times New Roman" w:eastAsia="楷体_GB2312" w:cs="Times New Roman"/>
          <w:b/>
          <w:bCs/>
          <w:color w:val="000000" w:themeColor="text1"/>
          <w:sz w:val="32"/>
          <w:szCs w:val="32"/>
          <w14:textFill>
            <w14:solidFill>
              <w14:schemeClr w14:val="tx1"/>
            </w14:solidFill>
          </w14:textFill>
        </w:rPr>
        <w:t>. 健全部门会商调度机制。</w:t>
      </w:r>
      <w:r>
        <w:rPr>
          <w:rFonts w:ascii="Times New Roman" w:hAnsi="Times New Roman" w:eastAsia="仿宋_GB2312" w:cs="Times New Roman"/>
          <w:color w:val="000000" w:themeColor="text1"/>
          <w:sz w:val="32"/>
          <w:szCs w:val="32"/>
          <w14:textFill>
            <w14:solidFill>
              <w14:schemeClr w14:val="tx1"/>
            </w14:solidFill>
          </w14:textFill>
        </w:rPr>
        <w:t>充分发挥</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ascii="Times New Roman" w:hAnsi="Times New Roman" w:eastAsia="仿宋_GB2312" w:cs="Times New Roman"/>
          <w:color w:val="000000" w:themeColor="text1"/>
          <w:sz w:val="32"/>
          <w:szCs w:val="32"/>
          <w14:textFill>
            <w14:solidFill>
              <w14:schemeClr w14:val="tx1"/>
            </w14:solidFill>
          </w14:textFill>
        </w:rPr>
        <w:t>安全生产委员会作用，每年至少召开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次安委会会议，将安全形势分析（风险研判）、专项整治行动（联动检查）、制度标准创新、问题隐患整改等进一步纳入安委会日常工作范畴，协调解决安全生产重大问题，督促各地、各部门和单位高质量完成各项重点工作任务。发挥县综合交通运输安全生产专业委员会办公室牵头作用，年内组织召开会议不少于2次，每季度至少开展1次形势分析、联合检查。</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8.</w:t>
      </w:r>
      <w:r>
        <w:rPr>
          <w:rFonts w:ascii="Times New Roman" w:hAnsi="Times New Roman" w:eastAsia="楷体_GB2312" w:cs="Times New Roman"/>
          <w:b/>
          <w:bCs/>
          <w:color w:val="000000" w:themeColor="text1"/>
          <w:sz w:val="32"/>
          <w:szCs w:val="32"/>
          <w14:textFill>
            <w14:solidFill>
              <w14:schemeClr w14:val="tx1"/>
            </w14:solidFill>
          </w14:textFill>
        </w:rPr>
        <w:t xml:space="preserve"> 加强重点行业联合监管。</w:t>
      </w:r>
      <w:r>
        <w:rPr>
          <w:rFonts w:ascii="Times New Roman" w:hAnsi="Times New Roman" w:eastAsia="仿宋_GB2312" w:cs="Times New Roman"/>
          <w:color w:val="000000" w:themeColor="text1"/>
          <w:sz w:val="32"/>
          <w:szCs w:val="32"/>
          <w14:textFill>
            <w14:solidFill>
              <w14:schemeClr w14:val="tx1"/>
            </w14:solidFill>
          </w14:textFill>
        </w:rPr>
        <w:t>加强与公安、应急部门对接，推动建立道路运输事故数据会商工作机制。会同海事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、水务、农业农村</w:t>
      </w:r>
      <w:r>
        <w:rPr>
          <w:rFonts w:ascii="Times New Roman" w:hAnsi="Times New Roman" w:eastAsia="仿宋_GB2312" w:cs="Times New Roman"/>
          <w:color w:val="000000" w:themeColor="text1"/>
          <w:sz w:val="32"/>
          <w:szCs w:val="32"/>
          <w14:textFill>
            <w14:solidFill>
              <w14:schemeClr w14:val="tx1"/>
            </w14:solidFill>
          </w14:textFill>
        </w:rPr>
        <w:t>等部门加强水上运输联合监管。会同公安、各相关部门着力抓好超限超载八个环节治理工作。会同公安部门监督客运站全面落实《反恐怖主义法》《汽车客运站安全生产规范》。按照《关于进一步加强全省危险货物道路运输安全监管的工作措施》要求，会同应急、公安等部门推动危险货物道路运输安全监管。会同文旅等部门强化旅游包车客运安全协同治理，抓好客运企业车辆安全例检、包车标贴申请、旅行社用车</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五不租</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等制度落实到位。定期联合公安、应急管理等部门对高风险运输企业进行安全约谈。配合发改、公安、市场监管等部门，加大对货车非法改装企业的打击力度，基本消除货车非法改装、</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大吨小标</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等违法违规突出问题。</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9</w:t>
      </w:r>
      <w:r>
        <w:rPr>
          <w:rFonts w:ascii="Times New Roman" w:hAnsi="Times New Roman" w:eastAsia="楷体_GB2312" w:cs="Times New Roman"/>
          <w:b/>
          <w:bCs/>
          <w:color w:val="000000" w:themeColor="text1"/>
          <w:sz w:val="32"/>
          <w:szCs w:val="32"/>
          <w14:textFill>
            <w14:solidFill>
              <w14:schemeClr w14:val="tx1"/>
            </w14:solidFill>
          </w14:textFill>
        </w:rPr>
        <w:t>. 提升行业依法治安能力。</w:t>
      </w:r>
      <w:r>
        <w:rPr>
          <w:rFonts w:ascii="Times New Roman" w:hAnsi="Times New Roman" w:eastAsia="仿宋_GB2312" w:cs="Times New Roman"/>
          <w:snapToGrid w:val="0"/>
          <w:color w:val="000000" w:themeColor="text1"/>
          <w:kern w:val="0"/>
          <w:sz w:val="32"/>
          <w:szCs w:val="32"/>
          <w14:textFill>
            <w14:solidFill>
              <w14:schemeClr w14:val="tx1"/>
            </w14:solidFill>
          </w14:textFill>
        </w:rPr>
        <w:t>加强对交通运输领域运用</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一法一条例</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行政处罚案件的法制审核，不断提升行政执法规范性。组织开展执法人员分级分类培训学习等方式</w:t>
      </w:r>
      <w:r>
        <w:rPr>
          <w:rFonts w:ascii="Times New Roman" w:hAnsi="Times New Roman" w:eastAsia="仿宋_GB2312" w:cs="Times New Roman"/>
          <w:color w:val="000000" w:themeColor="text1"/>
          <w:sz w:val="32"/>
          <w:szCs w:val="32"/>
          <w14:textFill>
            <w14:solidFill>
              <w14:schemeClr w14:val="tx1"/>
            </w14:solidFill>
          </w14:textFill>
        </w:rPr>
        <w:t>，建设高素质专业化交通运输综合行执法工作人员队伍。在重点时段、重要节点开展</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天网</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集中日、</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苏水安澜</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蓝盾</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等执法专项行动，坚决打击违法违规行为。将重大事故隐患判定标准和重点检查事项固化到执法系统作为必查项，推动重大事故隐患立案率100%。</w:t>
      </w:r>
      <w:r>
        <w:rPr>
          <w:rFonts w:ascii="Times New Roman" w:hAnsi="Times New Roman" w:eastAsia="仿宋_GB2312" w:cs="Times New Roman"/>
          <w:color w:val="000000" w:themeColor="text1"/>
          <w:kern w:val="0"/>
          <w:sz w:val="32"/>
          <w:szCs w:val="32"/>
          <w14:textFill>
            <w14:solidFill>
              <w14:schemeClr w14:val="tx1"/>
            </w14:solidFill>
          </w14:textFill>
        </w:rPr>
        <w:t>落实分类分级差异化执法机制，对安全管理不严格、事故易发多发或重大隐患整改不力的企业，加大执法检查频次，对自觉落实主体责任、近年来未发生事故的企业减少随机检查和抽查。</w:t>
      </w:r>
      <w:r>
        <w:rPr>
          <w:rFonts w:ascii="Times New Roman" w:hAnsi="Times New Roman" w:eastAsia="仿宋_GB2312" w:cs="Times New Roman"/>
          <w:color w:val="000000" w:themeColor="text1"/>
          <w:sz w:val="32"/>
          <w:szCs w:val="32"/>
          <w14:textFill>
            <w14:solidFill>
              <w14:schemeClr w14:val="tx1"/>
            </w14:solidFill>
          </w14:textFill>
        </w:rPr>
        <w:t>开展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邀约式</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执法，加强对道路运输企业法律法规、安全政策的宣贯，提升企业安全生产管理水平。</w:t>
      </w:r>
      <w:r>
        <w:rPr>
          <w:rFonts w:ascii="Times New Roman" w:hAnsi="Times New Roman" w:eastAsia="仿宋_GB2312" w:cs="Times New Roman"/>
          <w:color w:val="000000" w:themeColor="text1"/>
          <w:kern w:val="0"/>
          <w:sz w:val="32"/>
          <w:szCs w:val="32"/>
          <w14:textFill>
            <w14:solidFill>
              <w14:schemeClr w14:val="tx1"/>
            </w14:solidFill>
          </w14:textFill>
        </w:rPr>
        <w:t>推进非现场执法模式探索实践，健全非现场执法的法律保障、制度保障、技术保障，打造非现场执法的南通交通品牌。</w:t>
      </w:r>
      <w:r>
        <w:rPr>
          <w:rFonts w:ascii="Times New Roman" w:hAnsi="Times New Roman" w:eastAsia="仿宋_GB2312" w:cs="Times New Roman"/>
          <w:color w:val="000000" w:themeColor="text1"/>
          <w:sz w:val="32"/>
          <w:szCs w:val="32"/>
          <w14:textFill>
            <w14:solidFill>
              <w14:schemeClr w14:val="tx1"/>
            </w14:solidFill>
          </w14:textFill>
        </w:rPr>
        <w:t>整合协同监管资源，加强跨行业、跨部门执法联动。</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四、提高重点领域监管水平</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10</w:t>
      </w:r>
      <w:r>
        <w:rPr>
          <w:rFonts w:ascii="Times New Roman" w:hAnsi="Times New Roman" w:eastAsia="楷体_GB2312" w:cs="Times New Roman"/>
          <w:b/>
          <w:bCs/>
          <w:color w:val="000000" w:themeColor="text1"/>
          <w:sz w:val="32"/>
          <w:szCs w:val="32"/>
          <w14:textFill>
            <w14:solidFill>
              <w14:schemeClr w14:val="tx1"/>
            </w14:solidFill>
          </w14:textFill>
        </w:rPr>
        <w:t>. 道路运输领域。</w:t>
      </w:r>
      <w:r>
        <w:rPr>
          <w:rFonts w:ascii="Times New Roman" w:hAnsi="Times New Roman" w:eastAsia="仿宋_GB2312" w:cs="Times New Roman"/>
          <w:color w:val="000000" w:themeColor="text1"/>
          <w:sz w:val="32"/>
          <w:szCs w:val="32"/>
          <w14:textFill>
            <w14:solidFill>
              <w14:schemeClr w14:val="tx1"/>
            </w14:solidFill>
          </w14:textFill>
        </w:rPr>
        <w:t>集中整治未经许可经营、超许可范围和有效期经营以及</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车辆在禁行时段运营等行为。深化</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主动安全智能防控系统系统应用，通报并督促整改</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应装未装</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装而不用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用而不管</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等行为。推进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道路运输</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安全码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赋码管理和分级分类监管工作，进一步强化事前预防、深化企业合规体检。继续在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企业推广应用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驾驶员行前安全教育测评系统</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，实施有针对性的培训、测评和考核。持续开展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挂靠车辆清理，保持挂靠车辆</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动态清零</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。深化并推广江阴市小微普货经营者安全管理联合体模式，落实普货运输企业安全生产主体责任。</w:t>
      </w:r>
      <w:r>
        <w:rPr>
          <w:rFonts w:ascii="Times New Roman" w:hAnsi="Times New Roman" w:eastAsia="仿宋_GB2312" w:cs="Times New Roman"/>
          <w:color w:val="000000" w:themeColor="text1"/>
          <w:sz w:val="32"/>
          <w:u w:val="none"/>
          <w14:textFill>
            <w14:solidFill>
              <w14:schemeClr w14:val="tx1"/>
            </w14:solidFill>
          </w14:textFill>
        </w:rPr>
        <w:t>做好</w:t>
      </w:r>
      <w:r>
        <w:rPr>
          <w:rFonts w:ascii="Times New Roman" w:hAnsi="Times New Roman" w:eastAsia="仿宋_GB2312" w:cs="Times New Roman"/>
          <w:color w:val="000000" w:themeColor="text1"/>
          <w:sz w:val="32"/>
          <w:szCs w:val="32"/>
          <w14:textFill>
            <w14:solidFill>
              <w14:schemeClr w14:val="tx1"/>
            </w14:solidFill>
          </w14:textFill>
        </w:rPr>
        <w:t>普通公路</w:t>
      </w:r>
      <w:r>
        <w:rPr>
          <w:rFonts w:ascii="Times New Roman" w:hAnsi="Times New Roman" w:eastAsia="仿宋_GB2312" w:cs="Times New Roman"/>
          <w:color w:val="000000" w:themeColor="text1"/>
          <w:sz w:val="32"/>
          <w14:textFill>
            <w14:solidFill>
              <w14:schemeClr w14:val="tx1"/>
            </w14:solidFill>
          </w14:textFill>
        </w:rPr>
        <w:t>货车动态监测设施</w:t>
      </w:r>
      <w:r>
        <w:rPr>
          <w:rFonts w:ascii="Times New Roman" w:hAnsi="Times New Roman" w:eastAsia="仿宋_GB2312" w:cs="Times New Roman"/>
          <w:color w:val="000000" w:themeColor="text1"/>
          <w:sz w:val="32"/>
          <w:u w:val="none"/>
          <w14:textFill>
            <w14:solidFill>
              <w14:schemeClr w14:val="tx1"/>
            </w14:solidFill>
          </w14:textFill>
        </w:rPr>
        <w:t>的日常维护和使用</w:t>
      </w:r>
      <w:r>
        <w:rPr>
          <w:rFonts w:ascii="Times New Roman" w:hAnsi="Times New Roman" w:eastAsia="仿宋_GB2312" w:cs="Times New Roman"/>
          <w:color w:val="000000" w:themeColor="text1"/>
          <w:sz w:val="32"/>
          <w:szCs w:val="32"/>
          <w14:textFill>
            <w14:solidFill>
              <w14:schemeClr w14:val="tx1"/>
            </w14:solidFill>
          </w14:textFill>
        </w:rPr>
        <w:t>，开展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百吨王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应急拦截查处和溯源，严格落实</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一超四罚</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治理措施，加大</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百吨王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和超限超载100%以上车辆现场查处力度，确保普通国省干线公路超限率降至0.5%以内。加强大件运输安全监管，严厉查处不按许可要求行驶、虚报数据等违法超限行为。</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3" w:firstLineChars="200"/>
        <w:textAlignment w:val="auto"/>
        <w:rPr>
          <w:rFonts w:ascii="Times New Roman" w:hAnsi="Times New Roman" w:eastAsia="仿宋_GB2312" w:cs="Times New Roman"/>
          <w:color w:val="000000" w:themeColor="text1"/>
          <w:sz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1</w:t>
      </w:r>
      <w:r>
        <w:rPr>
          <w:rFonts w:ascii="Times New Roman" w:hAnsi="Times New Roman" w:eastAsia="楷体_GB2312" w:cs="Times New Roman"/>
          <w:b/>
          <w:bCs/>
          <w:color w:val="000000" w:themeColor="text1"/>
          <w:sz w:val="32"/>
          <w:szCs w:val="32"/>
          <w14:textFill>
            <w14:solidFill>
              <w14:schemeClr w14:val="tx1"/>
            </w14:solidFill>
          </w14:textFill>
        </w:rPr>
        <w:t>．水上交通领域。</w:t>
      </w:r>
      <w:r>
        <w:rPr>
          <w:rFonts w:ascii="Times New Roman" w:hAnsi="Times New Roman" w:eastAsia="仿宋_GB2312" w:cs="Times New Roman"/>
          <w:color w:val="000000" w:themeColor="text1"/>
          <w:sz w:val="32"/>
          <w:szCs w:val="32"/>
          <w14:textFill>
            <w14:solidFill>
              <w14:schemeClr w14:val="tx1"/>
            </w14:solidFill>
          </w14:textFill>
        </w:rPr>
        <w:t>严格执行南通内河水域600总吨以下载运化学品船夜间禁航与单壳化学品船和单壳油船禁航有关规定。督促水路运输企业加强内河运输船舶管理，从源头上防止内河船舶从事海上运输。加强内河通航水域秩序管理，集中治理船舶标志标识不规范、船舶封舱措施不到位、船舶乱停乱靠、</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三无船舶</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和船舶重大违法违规行为。</w:t>
      </w:r>
      <w:r>
        <w:rPr>
          <w:rFonts w:ascii="Times New Roman" w:hAnsi="Times New Roman" w:eastAsia="仿宋_GB2312" w:cs="Times New Roman"/>
          <w:bCs/>
          <w:color w:val="000000" w:themeColor="text1"/>
          <w:sz w:val="32"/>
          <w:szCs w:val="32"/>
          <w14:textFill>
            <w14:solidFill>
              <w14:schemeClr w14:val="tx1"/>
            </w14:solidFill>
          </w14:textFill>
        </w:rPr>
        <w:t>分类、分批、分期推进水上交通安全标志提升工作。</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2</w:t>
      </w:r>
      <w:r>
        <w:rPr>
          <w:rFonts w:ascii="Times New Roman" w:hAnsi="Times New Roman" w:eastAsia="楷体_GB2312" w:cs="Times New Roman"/>
          <w:b/>
          <w:bCs/>
          <w:color w:val="000000" w:themeColor="text1"/>
          <w:sz w:val="32"/>
          <w:szCs w:val="32"/>
          <w14:textFill>
            <w14:solidFill>
              <w14:schemeClr w14:val="tx1"/>
            </w14:solidFill>
          </w14:textFill>
        </w:rPr>
        <w:t>. 港口领域。</w:t>
      </w:r>
      <w:r>
        <w:rPr>
          <w:rFonts w:ascii="Times New Roman" w:hAnsi="Times New Roman" w:eastAsia="仿宋_GB2312" w:cs="Times New Roman"/>
          <w:color w:val="000000" w:themeColor="text1"/>
          <w:sz w:val="32"/>
          <w:szCs w:val="32"/>
          <w14:textFill>
            <w14:solidFill>
              <w14:schemeClr w14:val="tx1"/>
            </w14:solidFill>
          </w14:textFill>
        </w:rPr>
        <w:t>督促港口企业严格落实港口安全生产相关制度，做好港口堆场、仓</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储</w:t>
      </w:r>
      <w:r>
        <w:rPr>
          <w:rFonts w:ascii="Times New Roman" w:hAnsi="Times New Roman" w:eastAsia="仿宋_GB2312" w:cs="Times New Roman"/>
          <w:color w:val="000000" w:themeColor="text1"/>
          <w:sz w:val="32"/>
          <w:szCs w:val="32"/>
          <w14:textFill>
            <w14:solidFill>
              <w14:schemeClr w14:val="tx1"/>
            </w14:solidFill>
          </w14:textFill>
        </w:rPr>
        <w:t>等港口危险货物作业场所安全管理，全面排查港口安全设施、消防设施的配备和有效运行情况。强化港口危险化学品特殊作业安全管理，严格执行动火、受限空间等危险作业管理制度，严厉打击超范围、超能力、超期限作业等行为。</w:t>
      </w:r>
    </w:p>
    <w:p>
      <w:pPr>
        <w:keepNext w:val="0"/>
        <w:keepLines w:val="0"/>
        <w:pageBreakBefore w:val="0"/>
        <w:widowControl w:val="0"/>
        <w:tabs>
          <w:tab w:val="left" w:pos="993"/>
        </w:tabs>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3</w:t>
      </w:r>
      <w:r>
        <w:rPr>
          <w:rFonts w:ascii="Times New Roman" w:hAnsi="Times New Roman" w:eastAsia="楷体_GB2312" w:cs="Times New Roman"/>
          <w:b/>
          <w:bCs/>
          <w:color w:val="000000" w:themeColor="text1"/>
          <w:sz w:val="32"/>
          <w:szCs w:val="32"/>
          <w14:textFill>
            <w14:solidFill>
              <w14:schemeClr w14:val="tx1"/>
            </w14:solidFill>
          </w14:textFill>
        </w:rPr>
        <w:t>. 城市公共交通领域。</w:t>
      </w:r>
      <w:r>
        <w:rPr>
          <w:rFonts w:ascii="Times New Roman" w:hAnsi="Times New Roman" w:eastAsia="仿宋_GB2312" w:cs="Times New Roman"/>
          <w:color w:val="000000" w:themeColor="text1"/>
          <w:sz w:val="32"/>
          <w:szCs w:val="32"/>
          <w14:textFill>
            <w14:solidFill>
              <w14:schemeClr w14:val="tx1"/>
            </w14:solidFill>
          </w14:textFill>
        </w:rPr>
        <w:t>督促城市公交运营单位开展公交车辆、场站等基础设施安全隐患排查，特别强化停车场消防安全以及涉锂公交车充换电等重点环节管理。加强驾驶员安全技能培训和行前心理疏导，提高驾驶员安全驾驶能力和应急处置能力。针对现有汽电公交停车场建设面积不符合要求的问题，通过新建、租用、共享等方式，推行综合复合开发，切实解决公交场站用地紧张难题。</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4</w:t>
      </w:r>
      <w:r>
        <w:rPr>
          <w:rFonts w:ascii="Times New Roman" w:hAnsi="Times New Roman" w:eastAsia="楷体_GB2312" w:cs="Times New Roman"/>
          <w:b/>
          <w:bCs/>
          <w:color w:val="000000" w:themeColor="text1"/>
          <w:sz w:val="32"/>
          <w:szCs w:val="32"/>
          <w14:textFill>
            <w14:solidFill>
              <w14:schemeClr w14:val="tx1"/>
            </w14:solidFill>
          </w14:textFill>
        </w:rPr>
        <w:t>. 交通基础设施领域。</w:t>
      </w:r>
      <w:r>
        <w:rPr>
          <w:rFonts w:ascii="Times New Roman" w:hAnsi="Times New Roman" w:eastAsia="仿宋_GB2312" w:cs="Times New Roman"/>
          <w:color w:val="000000" w:themeColor="text1"/>
          <w:sz w:val="32"/>
          <w:szCs w:val="32"/>
          <w:highlight w:val="none"/>
          <w14:textFill>
            <w14:solidFill>
              <w14:schemeClr w14:val="tx1"/>
            </w14:solidFill>
          </w14:textFill>
        </w:rPr>
        <w:t>全面推进省（X354线大豫段）、市（X301：K0+500</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ascii="Times New Roman" w:hAnsi="Times New Roman" w:eastAsia="仿宋_GB2312" w:cs="Times New Roman"/>
          <w:color w:val="000000" w:themeColor="text1"/>
          <w:sz w:val="32"/>
          <w:szCs w:val="32"/>
          <w:highlight w:val="none"/>
          <w14:textFill>
            <w14:solidFill>
              <w14:schemeClr w14:val="tx1"/>
            </w14:solidFill>
          </w14:textFill>
        </w:rPr>
        <w:t>K5+100）挂牌隐患的闭环整改销号，持续加强农村道路交通安全隐患的滚动排查治理，持续开展农村公路安全生命防护工程建设，完善农村公路临水、坡路地和桥梁等危险路段安全防护设；完成市级挂牌2处道路交通事故多发点段整治、16座农村公路桥梁改造工程建设；推进普通国省道安全精细化提升工程，做好平面交叉路口完善提升工作，完成228国道部级</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ascii="Times New Roman" w:hAnsi="Times New Roman" w:eastAsia="仿宋_GB2312" w:cs="Times New Roman"/>
          <w:color w:val="000000" w:themeColor="text1"/>
          <w:sz w:val="32"/>
          <w:szCs w:val="32"/>
          <w:highlight w:val="none"/>
          <w14:textFill>
            <w14:solidFill>
              <w14:schemeClr w14:val="tx1"/>
            </w14:solidFill>
          </w14:textFill>
        </w:rPr>
        <w:t>交通安全精品路</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ascii="Times New Roman" w:hAnsi="Times New Roman" w:eastAsia="仿宋_GB2312" w:cs="Times New Roman"/>
          <w:color w:val="000000" w:themeColor="text1"/>
          <w:sz w:val="32"/>
          <w:szCs w:val="32"/>
          <w:highlight w:val="none"/>
          <w14:textFill>
            <w14:solidFill>
              <w14:schemeClr w14:val="tx1"/>
            </w14:solidFill>
          </w14:textFill>
        </w:rPr>
        <w:t>创建任务。开展干线航道和通航建筑物隐患治理，及时清除水下碍航物和淤积土方，保证干线航道及主要支线航道畅通。强化道路运输车辆尤其是超限车辆的整治力度，严防车辆撞击铁路桥梁事件发生。强化</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ascii="Times New Roman" w:hAnsi="Times New Roman" w:eastAsia="仿宋_GB2312" w:cs="Times New Roman"/>
          <w:color w:val="000000" w:themeColor="text1"/>
          <w:sz w:val="32"/>
          <w:szCs w:val="32"/>
          <w:highlight w:val="none"/>
          <w14:textFill>
            <w14:solidFill>
              <w14:schemeClr w14:val="tx1"/>
            </w14:solidFill>
          </w14:textFill>
        </w:rPr>
        <w:t>双段长</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ascii="Times New Roman" w:hAnsi="Times New Roman" w:eastAsia="仿宋_GB2312" w:cs="Times New Roman"/>
          <w:color w:val="000000" w:themeColor="text1"/>
          <w:sz w:val="32"/>
          <w:szCs w:val="32"/>
          <w:highlight w:val="none"/>
          <w14:textFill>
            <w14:solidFill>
              <w14:schemeClr w14:val="tx1"/>
            </w14:solidFill>
          </w14:textFill>
        </w:rPr>
        <w:t>机制实体化运行，对铁路沿线安全环境隐患及时上报处置，保障运行环境安全。</w:t>
      </w:r>
    </w:p>
    <w:p>
      <w:pPr>
        <w:pStyle w:val="13"/>
        <w:keepNext w:val="0"/>
        <w:keepLines w:val="0"/>
        <w:pageBreakBefore w:val="0"/>
        <w:widowControl w:val="0"/>
        <w:kinsoku/>
        <w:wordWrap/>
        <w:overflowPunct w:val="0"/>
        <w:topLinePunct w:val="0"/>
        <w:autoSpaceDE/>
        <w:autoSpaceDN/>
        <w:bidi w:val="0"/>
        <w:spacing w:line="590" w:lineRule="exact"/>
        <w:ind w:firstLine="643"/>
        <w:textAlignment w:val="auto"/>
        <w:rPr>
          <w:rFonts w:eastAsia="仿宋_GB2312"/>
          <w:color w:val="000000" w:themeColor="text1"/>
          <w:sz w:val="32"/>
          <w:szCs w:val="32"/>
          <w14:textFill>
            <w14:solidFill>
              <w14:schemeClr w14:val="tx1"/>
            </w14:solidFill>
          </w14:textFill>
        </w:rPr>
      </w:pPr>
      <w:r>
        <w:rPr>
          <w:rFonts w:eastAsia="楷体_GB2312"/>
          <w:b/>
          <w:bCs/>
          <w:color w:val="000000" w:themeColor="text1"/>
          <w:sz w:val="32"/>
          <w:szCs w:val="32"/>
          <w14:textFill>
            <w14:solidFill>
              <w14:schemeClr w14:val="tx1"/>
            </w14:solidFill>
          </w14:textFill>
        </w:rPr>
        <w:t>1</w:t>
      </w:r>
      <w:r>
        <w:rPr>
          <w:rFonts w:hint="eastAsia" w:eastAsia="楷体_GB2312"/>
          <w:b/>
          <w:bCs/>
          <w:color w:val="000000" w:themeColor="text1"/>
          <w:sz w:val="32"/>
          <w:szCs w:val="32"/>
          <w:lang w:val="en-US" w:eastAsia="zh-CN"/>
          <w14:textFill>
            <w14:solidFill>
              <w14:schemeClr w14:val="tx1"/>
            </w14:solidFill>
          </w14:textFill>
        </w:rPr>
        <w:t>5</w:t>
      </w:r>
      <w:r>
        <w:rPr>
          <w:rFonts w:eastAsia="楷体_GB2312"/>
          <w:b/>
          <w:bCs/>
          <w:color w:val="000000" w:themeColor="text1"/>
          <w:sz w:val="32"/>
          <w:szCs w:val="32"/>
          <w14:textFill>
            <w14:solidFill>
              <w14:schemeClr w14:val="tx1"/>
            </w14:solidFill>
          </w14:textFill>
        </w:rPr>
        <w:t>. 交通工程建设领域。</w:t>
      </w:r>
      <w:r>
        <w:rPr>
          <w:rFonts w:eastAsia="仿宋_GB2312"/>
          <w:color w:val="000000" w:themeColor="text1"/>
          <w:sz w:val="32"/>
          <w:szCs w:val="32"/>
          <w14:textFill>
            <w14:solidFill>
              <w14:schemeClr w14:val="tx1"/>
            </w14:solidFill>
          </w14:textFill>
        </w:rPr>
        <w:t>推进平安工地建设全覆盖，围绕实现工程项目</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零死亡</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目标，落实安全管理措施。加强施工现场和驻地安全管理，严禁抢工期、赶进度等危及工程建设质量和施工安全的盲目冒进行为。严厉打击违法分包、转包、挂靠资质等行为，综合运用监管记分、行政处罚、信用扣分等措施，强化综合治理。强化对公路水运工程项目招标文件中安全生产费用设定情况的抽查；深化事故责任单位的信用管理，按事故等级对责任单位实施动态降级。全面加强危大工程安全管理，集中整治危大工程未编制专项施工方案、未按方案施工等违法违规行为。持续开展</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送专家、送技术、送服务到基层</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活动，为参建单位提供工作指导。</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6</w:t>
      </w:r>
      <w:r>
        <w:rPr>
          <w:rFonts w:ascii="Times New Roman" w:hAnsi="Times New Roman" w:eastAsia="楷体_GB2312" w:cs="Times New Roman"/>
          <w:b/>
          <w:bCs/>
          <w:color w:val="000000" w:themeColor="text1"/>
          <w:sz w:val="32"/>
          <w:szCs w:val="32"/>
          <w14:textFill>
            <w14:solidFill>
              <w14:schemeClr w14:val="tx1"/>
            </w14:solidFill>
          </w14:textFill>
        </w:rPr>
        <w:t>. 消防安全领域。</w:t>
      </w:r>
      <w:r>
        <w:rPr>
          <w:rFonts w:ascii="Times New Roman" w:hAnsi="Times New Roman" w:eastAsia="仿宋_GB2312" w:cs="Times New Roman"/>
          <w:color w:val="000000" w:themeColor="text1"/>
          <w:sz w:val="32"/>
          <w:szCs w:val="32"/>
          <w14:textFill>
            <w14:solidFill>
              <w14:schemeClr w14:val="tx1"/>
            </w14:solidFill>
          </w14:textFill>
        </w:rPr>
        <w:t>将消防工作纳入年初整体工作计划，做到与其他工作同步计划、同步布置、同步推进、同步检查、同步考核。每季度专题研究一次消防安全工作，分析形势，查找不足，周密部署落实消防安全管控措施。深化城市公交、客运站、码头、工地等人员密集场所消防安全隐患治理，全面排查整治违规操作、违规住人、占用堵塞疏散通道、安全出口等突出问题，提高行业消防安全能力，有效遏制</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小火亡人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。指导督促交通运输企业压紧压实消防安全责任，落实《单位消防安全管理规范》等制度规范要求。将动火作业管理纳入安全生产工作的重要内容，严查整治动火作业安全隐患，严格执行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八个严禁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。认真组织开展消防安全宣传教育培训工作，切实提高广大干部职工的消防安全意识和技能。</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7</w:t>
      </w:r>
      <w:r>
        <w:rPr>
          <w:rFonts w:ascii="Times New Roman" w:hAnsi="Times New Roman" w:eastAsia="楷体_GB2312" w:cs="Times New Roman"/>
          <w:b/>
          <w:bCs/>
          <w:color w:val="000000" w:themeColor="text1"/>
          <w:sz w:val="32"/>
          <w:szCs w:val="32"/>
          <w14:textFill>
            <w14:solidFill>
              <w14:schemeClr w14:val="tx1"/>
            </w14:solidFill>
          </w14:textFill>
        </w:rPr>
        <w:t>.新业态领域</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加强路检路查，严格查处未取得《网络预约出租汽车运输证》擅自从事网络预约出租汽车经营违法行为；对路检路查发现网约车平台非法派单违法行为，推送市局进行查处；推进网约车合规化经营攻坚行动。指</w:t>
      </w:r>
      <w:r>
        <w:rPr>
          <w:rFonts w:hint="eastAsia" w:ascii="Times New Roman" w:hAnsi="Times New Roman" w:eastAsia="仿宋_GB2312" w:cs="Times New Roman"/>
          <w:color w:val="000000" w:themeColor="text1"/>
          <w:sz w:val="32"/>
          <w:szCs w:val="32"/>
          <w14:textFill>
            <w14:solidFill>
              <w14:schemeClr w14:val="tx1"/>
            </w14:solidFill>
          </w14:textFill>
        </w:rPr>
        <w:t>导督促在省工业和信息化厅网站承诺公示的</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且在</w:t>
      </w:r>
      <w:r>
        <w:rPr>
          <w:rFonts w:hint="eastAsia" w:ascii="Times New Roman" w:hAnsi="Times New Roman" w:eastAsia="仿宋_GB2312" w:cs="Times New Roman"/>
          <w:color w:val="000000" w:themeColor="text1"/>
          <w:sz w:val="32"/>
          <w:szCs w:val="32"/>
          <w14:textFill>
            <w14:solidFill>
              <w14:schemeClr w14:val="tx1"/>
            </w14:solidFill>
          </w14:textFill>
        </w:rPr>
        <w:t>县域内投建公共领域充</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换</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电设施</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的</w:t>
      </w:r>
      <w:r>
        <w:rPr>
          <w:rFonts w:hint="eastAsia" w:ascii="Times New Roman" w:hAnsi="Times New Roman" w:eastAsia="仿宋_GB2312" w:cs="Times New Roman"/>
          <w:color w:val="000000" w:themeColor="text1"/>
          <w:sz w:val="32"/>
          <w:szCs w:val="32"/>
          <w14:textFill>
            <w14:solidFill>
              <w14:schemeClr w14:val="tx1"/>
            </w14:solidFill>
          </w14:textFill>
        </w:rPr>
        <w:t>新能源汽车充（换）电设施建设运营企业</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压紧压实安全生产主体责任，将公共领域充</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换</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电设施巡检维护工作作为新能源汽车充（换）电设施建设运营企业服务保障能力检查的重要内容，每年组织开展不少于2次检查。</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五、建立安全技术支撑体系</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8</w:t>
      </w:r>
      <w:r>
        <w:rPr>
          <w:rFonts w:ascii="Times New Roman" w:hAnsi="Times New Roman" w:eastAsia="楷体_GB2312" w:cs="Times New Roman"/>
          <w:b/>
          <w:bCs/>
          <w:color w:val="000000" w:themeColor="text1"/>
          <w:sz w:val="32"/>
          <w:szCs w:val="32"/>
          <w14:textFill>
            <w14:solidFill>
              <w14:schemeClr w14:val="tx1"/>
            </w14:solidFill>
          </w14:textFill>
        </w:rPr>
        <w:t>. 扎实推进科技兴安。</w:t>
      </w:r>
      <w:r>
        <w:rPr>
          <w:rFonts w:ascii="Times New Roman" w:hAnsi="Times New Roman" w:eastAsia="仿宋_GB2312" w:cs="Times New Roman"/>
          <w:color w:val="000000" w:themeColor="text1"/>
          <w:sz w:val="32"/>
          <w:szCs w:val="32"/>
          <w14:textFill>
            <w14:solidFill>
              <w14:schemeClr w14:val="tx1"/>
            </w14:solidFill>
          </w14:textFill>
        </w:rPr>
        <w:t>用好用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水上天眼</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鹰眼系统</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治超联网管理信息平台</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等信息化监管手段，持续提升重点领域监管成效。推广</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车辆智慧化监管试点成果，对车辆技术状况和检测数据逐车评分，根据分值对电子证照进行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红黄绿</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三色赋码管理。拓展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主动安全智能防控系统应用范围，并扩大在重载普货运输领域覆盖面。加快建设桥梁健康监测系统，基于自动化监测和结构安全评估技术，实现对桥梁重要结构参数的实时监测和报警。完善智慧路网云控平台功能，进一步加密路网监测设施，实现路网运行监测、路网事件协同处置和出行服务</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一张网</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。配合省厅优化完善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平安守护</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工程安全管控系统应用，实现重点在建项目工程施工安全管理动态化、可视化、体系化。加强各类监管平台数据共享，构建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线上研判+线下执法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协同联动工作机制。</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1</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9</w:t>
      </w:r>
      <w:r>
        <w:rPr>
          <w:rFonts w:ascii="Times New Roman" w:hAnsi="Times New Roman" w:eastAsia="楷体_GB2312" w:cs="Times New Roman"/>
          <w:b/>
          <w:bCs/>
          <w:color w:val="000000" w:themeColor="text1"/>
          <w:sz w:val="32"/>
          <w:szCs w:val="32"/>
          <w14:textFill>
            <w14:solidFill>
              <w14:schemeClr w14:val="tx1"/>
            </w14:solidFill>
          </w14:textFill>
        </w:rPr>
        <w:t>. 提升安全生产社会化服务能力。</w:t>
      </w:r>
      <w:r>
        <w:rPr>
          <w:rFonts w:ascii="Times New Roman" w:hAnsi="Times New Roman" w:eastAsia="仿宋_GB2312" w:cs="Times New Roman"/>
          <w:color w:val="000000" w:themeColor="text1"/>
          <w:sz w:val="32"/>
          <w:szCs w:val="32"/>
          <w14:textFill>
            <w14:solidFill>
              <w14:schemeClr w14:val="tx1"/>
            </w14:solidFill>
          </w14:textFill>
        </w:rPr>
        <w:t>严格执行《南通市交通运输系统安全生产技术服务机构监督管理和评估制度（试行）》，综合运用诚信承诺、警示约谈、</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黑名单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管理和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一票否决</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等制度，强化对中介机构服务质量的监督管理，推动机构和从业人员严守安全底线、法律红线和道德准线。</w:t>
      </w:r>
      <w:r>
        <w:rPr>
          <w:rFonts w:ascii="Times New Roman" w:hAnsi="Times New Roman" w:eastAsia="仿宋_GB2312" w:cs="Times New Roman"/>
          <w:snapToGrid w:val="0"/>
          <w:color w:val="000000" w:themeColor="text1"/>
          <w:kern w:val="0"/>
          <w:sz w:val="32"/>
          <w:szCs w:val="32"/>
          <w14:textFill>
            <w14:solidFill>
              <w14:schemeClr w14:val="tx1"/>
            </w14:solidFill>
          </w14:textFill>
        </w:rPr>
        <w:t>依托交通运输舆情监测机制，动态掌握交通运输安全生产基本情况，</w:t>
      </w:r>
      <w:r>
        <w:rPr>
          <w:rFonts w:ascii="Times New Roman" w:hAnsi="Times New Roman" w:eastAsia="仿宋_GB2312" w:cs="Times New Roman"/>
          <w:color w:val="000000" w:themeColor="text1"/>
          <w:sz w:val="32"/>
          <w:szCs w:val="32"/>
          <w14:textFill>
            <w14:solidFill>
              <w14:schemeClr w14:val="tx1"/>
            </w14:solidFill>
          </w14:textFill>
        </w:rPr>
        <w:t>健全安全生产举报制度，畅通举报渠道，完善奖励机制。</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六、深化重大风险防范化解</w:t>
      </w:r>
    </w:p>
    <w:p>
      <w:pPr>
        <w:keepNext w:val="0"/>
        <w:keepLines w:val="0"/>
        <w:pageBreakBefore w:val="0"/>
        <w:widowControl w:val="0"/>
        <w:tabs>
          <w:tab w:val="left" w:pos="312"/>
        </w:tabs>
        <w:kinsoku/>
        <w:wordWrap/>
        <w:overflowPunct w:val="0"/>
        <w:topLinePunct w:val="0"/>
        <w:autoSpaceDE/>
        <w:autoSpaceDN/>
        <w:bidi w:val="0"/>
        <w:adjustRightInd w:val="0"/>
        <w:snapToGrid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20</w:t>
      </w:r>
      <w:r>
        <w:rPr>
          <w:rFonts w:ascii="Times New Roman" w:hAnsi="Times New Roman" w:eastAsia="楷体_GB2312" w:cs="Times New Roman"/>
          <w:b/>
          <w:bCs/>
          <w:color w:val="000000" w:themeColor="text1"/>
          <w:sz w:val="32"/>
          <w:szCs w:val="32"/>
          <w14:textFill>
            <w14:solidFill>
              <w14:schemeClr w14:val="tx1"/>
            </w14:solidFill>
          </w14:textFill>
        </w:rPr>
        <w:t>. 提升风险防控水平。</w:t>
      </w:r>
      <w:r>
        <w:rPr>
          <w:rFonts w:ascii="Times New Roman" w:hAnsi="Times New Roman" w:eastAsia="仿宋_GB2312" w:cs="Times New Roman"/>
          <w:color w:val="000000" w:themeColor="text1"/>
          <w:sz w:val="32"/>
          <w:szCs w:val="32"/>
          <w14:textFill>
            <w14:solidFill>
              <w14:schemeClr w14:val="tx1"/>
            </w14:solidFill>
          </w14:textFill>
        </w:rPr>
        <w:t>指导企业对辨识出的安全风险进行分类梳理，建立完善覆盖全行业各环节的安全生产风险分级管控体系。深化</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道路运输和港口危货经营等重点领域风险管理工作，持续完善较大以上风险目录和管控措施清单，推动较大以上风险填报实现信息化管理。依据即将颁布实施的《江苏省安全生产风险管理条例》，稳步推进风险管理向公路水运工程建设、城市公共交通、交通基础设施等领域延伸，逐步实现重点企业全覆盖、安全风险全管控。开展交通运输安全生产风险评估规范化研究，推动构建风险研判机制、决策评估机制、风险防控协同机制和风险防控责任机制等</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四项机制</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2</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1.</w:t>
      </w:r>
      <w:r>
        <w:rPr>
          <w:rFonts w:ascii="Times New Roman" w:hAnsi="Times New Roman" w:eastAsia="楷体_GB2312" w:cs="Times New Roman"/>
          <w:b/>
          <w:bCs/>
          <w:color w:val="000000" w:themeColor="text1"/>
          <w:sz w:val="32"/>
          <w:szCs w:val="32"/>
          <w14:textFill>
            <w14:solidFill>
              <w14:schemeClr w14:val="tx1"/>
            </w14:solidFill>
          </w14:textFill>
        </w:rPr>
        <w:t xml:space="preserve"> 强化隐患排查治理。</w:t>
      </w:r>
      <w:r>
        <w:rPr>
          <w:rFonts w:ascii="Times New Roman" w:hAnsi="Times New Roman" w:eastAsia="仿宋_GB2312" w:cs="Times New Roman"/>
          <w:color w:val="000000" w:themeColor="text1"/>
          <w:sz w:val="32"/>
          <w:szCs w:val="32"/>
          <w14:textFill>
            <w14:solidFill>
              <w14:schemeClr w14:val="tx1"/>
            </w14:solidFill>
          </w14:textFill>
        </w:rPr>
        <w:t>统筹推进安全生产</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治本攻坚三年行动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集中攻坚一批重点领域长期性、反复性、根源性顽瘴痼疾，最大限度遏制各类事故发生。定期组织安全生产综合检查、专业督查和各类明查暗访活动，全面排查易发生群死群伤重点领域事故隐患，通报并督促整改问题隐患。突出抓好重点领域和特殊时期安全生产大检查，深入排查整治影响安全生产、安全通行、安全营运的事故风险和安全隐患，实现隐患上报、核查、整改、验收、销号闭环管理。加大各领域重大事故隐患判定标准宣贯力度，提高企业主要负责人和安全管理人员、交通运输管理部门执法监管人员判定隐患的业务水平。落实生产安全重大事故隐患责任倒查机制，严格落实</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谁检查、谁签名、谁负责</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对应查未查、查而不改、只查不罚等问题严肃追责问责。严格执行企业隐患自查报备制度和重大隐患挂牌督办制度，对整改和督办不力的，纳入核查问责范围，实行约谈告诫、公开曝光，情节严重的，依法依规追究相关人员责任。</w:t>
      </w:r>
    </w:p>
    <w:p>
      <w:pPr>
        <w:keepNext w:val="0"/>
        <w:keepLines w:val="0"/>
        <w:pageBreakBefore w:val="0"/>
        <w:widowControl w:val="0"/>
        <w:tabs>
          <w:tab w:val="left" w:pos="312"/>
        </w:tabs>
        <w:kinsoku/>
        <w:wordWrap/>
        <w:overflowPunct w:val="0"/>
        <w:topLinePunct w:val="0"/>
        <w:autoSpaceDE/>
        <w:autoSpaceDN/>
        <w:bidi w:val="0"/>
        <w:adjustRightInd w:val="0"/>
        <w:snapToGrid/>
        <w:spacing w:line="560" w:lineRule="exact"/>
        <w:ind w:firstLine="643" w:firstLineChars="200"/>
        <w:textAlignment w:val="auto"/>
      </w:pPr>
      <w:r>
        <w:rPr>
          <w:rFonts w:hint="default" w:ascii="Times New Roman" w:hAnsi="Times New Roman" w:eastAsia="楷体_GB2312"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楷体_GB2312" w:cs="Times New Roman"/>
          <w:b/>
          <w:bCs/>
          <w:color w:val="000000" w:themeColor="text1"/>
          <w:kern w:val="2"/>
          <w:sz w:val="32"/>
          <w:szCs w:val="32"/>
          <w:lang w:val="en-US" w:eastAsia="zh-CN" w:bidi="ar-SA"/>
          <w14:textFill>
            <w14:solidFill>
              <w14:schemeClr w14:val="tx1"/>
            </w14:solidFill>
          </w14:textFill>
        </w:rPr>
        <w:t>2</w:t>
      </w:r>
      <w:r>
        <w:rPr>
          <w:rFonts w:hint="default" w:ascii="Times New Roman" w:hAnsi="Times New Roman" w:eastAsia="楷体_GB2312" w:cs="Times New Roman"/>
          <w:b/>
          <w:bCs/>
          <w:color w:val="000000" w:themeColor="text1"/>
          <w:kern w:val="2"/>
          <w:sz w:val="32"/>
          <w:szCs w:val="32"/>
          <w:lang w:val="en-US" w:eastAsia="zh-CN" w:bidi="ar-SA"/>
          <w14:textFill>
            <w14:solidFill>
              <w14:schemeClr w14:val="tx1"/>
            </w14:solidFill>
          </w14:textFill>
        </w:rPr>
        <w:t>. 规范事故调查处理。</w:t>
      </w:r>
      <w:r>
        <w:rPr>
          <w:rFonts w:ascii="Times New Roman" w:hAnsi="Times New Roman" w:eastAsia="仿宋_GB2312" w:cs="Times New Roman"/>
          <w:color w:val="000000" w:themeColor="text1"/>
          <w:kern w:val="2"/>
          <w:sz w:val="32"/>
          <w:szCs w:val="32"/>
          <w:lang w:val="en-US" w:eastAsia="zh-CN" w:bidi="ar-SA"/>
          <w14:textFill>
            <w14:solidFill>
              <w14:schemeClr w14:val="tx1"/>
            </w14:solidFill>
          </w14:textFill>
        </w:rPr>
        <w:t>开展</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全县</w:t>
      </w:r>
      <w:r>
        <w:rPr>
          <w:rFonts w:ascii="Times New Roman" w:hAnsi="Times New Roman" w:eastAsia="仿宋_GB2312" w:cs="Times New Roman"/>
          <w:color w:val="000000" w:themeColor="text1"/>
          <w:kern w:val="2"/>
          <w:sz w:val="32"/>
          <w:szCs w:val="32"/>
          <w:lang w:val="en-US" w:eastAsia="zh-CN" w:bidi="ar-SA"/>
          <w14:textFill>
            <w14:solidFill>
              <w14:schemeClr w14:val="tx1"/>
            </w14:solidFill>
          </w14:textFill>
        </w:rPr>
        <w:t>交通运输安全生产事故数据统计分析工作，按月汇总、按季度统计、按年度分析，动态掌握交通运输安全生产基本情况和发展变化趋势并提出针对性监管对策。</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深刻汲取事故教训，对重大事故、事件和重大险情</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一事一分析</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，认真评估典型事故和险情暴露的漏洞和短板，强化防范措施落实。</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上级</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挂牌督办的事故调查报告信息</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依法</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公开</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按照</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四不放过</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原则和科学严谨、依法依规、实事求是、注重实效的要求，实施</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一案三查</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，严肃追究相关单位和责任人责任。加大警示教育力度，及时下发通报产生较大影响的事故，用事故教训推动工作落实。</w:t>
      </w:r>
    </w:p>
    <w:p>
      <w:pPr>
        <w:keepNext w:val="0"/>
        <w:keepLines w:val="0"/>
        <w:pageBreakBefore w:val="0"/>
        <w:widowControl w:val="0"/>
        <w:kinsoku/>
        <w:wordWrap/>
        <w:overflowPunct w:val="0"/>
        <w:topLinePunct w:val="0"/>
        <w:autoSpaceDE/>
        <w:autoSpaceDN/>
        <w:bidi w:val="0"/>
        <w:snapToGrid/>
        <w:spacing w:line="56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七、建立完善应急管理体系</w:t>
      </w:r>
    </w:p>
    <w:p>
      <w:pPr>
        <w:pStyle w:val="13"/>
        <w:keepNext w:val="0"/>
        <w:keepLines w:val="0"/>
        <w:pageBreakBefore w:val="0"/>
        <w:widowControl w:val="0"/>
        <w:kinsoku/>
        <w:wordWrap/>
        <w:overflowPunct w:val="0"/>
        <w:topLinePunct w:val="0"/>
        <w:autoSpaceDE/>
        <w:autoSpaceDN/>
        <w:bidi w:val="0"/>
        <w:snapToGrid/>
        <w:spacing w:line="560" w:lineRule="exact"/>
        <w:ind w:firstLine="643"/>
        <w:textAlignment w:val="auto"/>
        <w:rPr>
          <w:rFonts w:eastAsia="仿宋_GB2312"/>
          <w:color w:val="000000" w:themeColor="text1"/>
          <w:sz w:val="32"/>
          <w:szCs w:val="32"/>
          <w14:textFill>
            <w14:solidFill>
              <w14:schemeClr w14:val="tx1"/>
            </w14:solidFill>
          </w14:textFill>
        </w:rPr>
      </w:pPr>
      <w:r>
        <w:rPr>
          <w:rFonts w:eastAsia="楷体_GB2312"/>
          <w:b/>
          <w:bCs/>
          <w:color w:val="000000" w:themeColor="text1"/>
          <w:sz w:val="32"/>
          <w:szCs w:val="32"/>
          <w14:textFill>
            <w14:solidFill>
              <w14:schemeClr w14:val="tx1"/>
            </w14:solidFill>
          </w14:textFill>
        </w:rPr>
        <w:t>2</w:t>
      </w:r>
      <w:r>
        <w:rPr>
          <w:rFonts w:hint="eastAsia" w:eastAsia="楷体_GB2312"/>
          <w:b/>
          <w:bCs/>
          <w:color w:val="000000" w:themeColor="text1"/>
          <w:sz w:val="32"/>
          <w:szCs w:val="32"/>
          <w:lang w:val="en-US" w:eastAsia="zh-CN"/>
          <w14:textFill>
            <w14:solidFill>
              <w14:schemeClr w14:val="tx1"/>
            </w14:solidFill>
          </w14:textFill>
        </w:rPr>
        <w:t>3</w:t>
      </w:r>
      <w:r>
        <w:rPr>
          <w:rFonts w:eastAsia="楷体_GB2312"/>
          <w:b/>
          <w:bCs/>
          <w:color w:val="000000" w:themeColor="text1"/>
          <w:sz w:val="32"/>
          <w:szCs w:val="32"/>
          <w14:textFill>
            <w14:solidFill>
              <w14:schemeClr w14:val="tx1"/>
            </w14:solidFill>
          </w14:textFill>
        </w:rPr>
        <w:t>. 完善应急预案体系。</w:t>
      </w:r>
      <w:r>
        <w:rPr>
          <w:rFonts w:eastAsia="仿宋_GB2312"/>
          <w:color w:val="000000" w:themeColor="text1"/>
          <w:sz w:val="32"/>
          <w:szCs w:val="32"/>
          <w14:textFill>
            <w14:solidFill>
              <w14:schemeClr w14:val="tx1"/>
            </w14:solidFill>
          </w14:textFill>
        </w:rPr>
        <w:t>持续推进省、市</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十四五</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应急管理体系和能力建设规划实施，序时推进</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十四五</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应急管理规划任务落细落实。开展交通运输突发事件应急预案体系评估与修订，确保预案的科学性、适用性和可操作性。推动开展部门专项应急预案实施效果评估，有效评估应急预案演练与事故灾难应急处置情况，实现以评促演、以评促改；理顺各类突发事件处置程序，推进应急预案简本化、图表化建设，督促各企业做好应急预案编制衔接与报备。</w:t>
      </w:r>
    </w:p>
    <w:p>
      <w:pPr>
        <w:keepNext w:val="0"/>
        <w:keepLines w:val="0"/>
        <w:pageBreakBefore w:val="0"/>
        <w:widowControl w:val="0"/>
        <w:kinsoku/>
        <w:wordWrap/>
        <w:overflowPunct w:val="0"/>
        <w:topLinePunct w:val="0"/>
        <w:autoSpaceDE/>
        <w:autoSpaceDN/>
        <w:bidi w:val="0"/>
        <w:snapToGrid/>
        <w:spacing w:line="56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2</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4</w:t>
      </w:r>
      <w:r>
        <w:rPr>
          <w:rFonts w:ascii="Times New Roman" w:hAnsi="Times New Roman" w:eastAsia="楷体_GB2312" w:cs="Times New Roman"/>
          <w:b/>
          <w:bCs/>
          <w:color w:val="000000" w:themeColor="text1"/>
          <w:sz w:val="32"/>
          <w:szCs w:val="32"/>
          <w14:textFill>
            <w14:solidFill>
              <w14:schemeClr w14:val="tx1"/>
            </w14:solidFill>
          </w14:textFill>
        </w:rPr>
        <w:t>. 强化应急指挥保障。</w:t>
      </w:r>
      <w:r>
        <w:rPr>
          <w:rFonts w:ascii="Times New Roman" w:hAnsi="Times New Roman" w:eastAsia="仿宋_GB2312" w:cs="Times New Roman"/>
          <w:color w:val="000000" w:themeColor="text1"/>
          <w:sz w:val="32"/>
          <w:szCs w:val="32"/>
          <w14:textFill>
            <w14:solidFill>
              <w14:schemeClr w14:val="tx1"/>
            </w14:solidFill>
          </w14:textFill>
        </w:rPr>
        <w:t>深化应急值班值守机制，严格执行领导干部带班、7×24小时应急值守、信息报送处置和应急指挥中心人员管理制度，做好重大节假日、重要活动期间和自然灾害高发期的值班值守工作，确保值班工作规范有序和信息报送渠道畅通。</w:t>
      </w:r>
    </w:p>
    <w:p>
      <w:pPr>
        <w:pStyle w:val="9"/>
        <w:keepNext w:val="0"/>
        <w:keepLines w:val="0"/>
        <w:pageBreakBefore w:val="0"/>
        <w:widowControl w:val="0"/>
        <w:kinsoku/>
        <w:wordWrap/>
        <w:overflowPunct w:val="0"/>
        <w:topLinePunct w:val="0"/>
        <w:autoSpaceDE/>
        <w:autoSpaceDN/>
        <w:bidi w:val="0"/>
        <w:adjustRightInd/>
        <w:snapToGrid/>
        <w:spacing w:after="0" w:line="590" w:lineRule="exact"/>
        <w:ind w:left="0" w:leftChars="0"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2</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5</w:t>
      </w:r>
      <w:r>
        <w:rPr>
          <w:rFonts w:ascii="Times New Roman" w:hAnsi="Times New Roman" w:eastAsia="楷体_GB2312" w:cs="Times New Roman"/>
          <w:b/>
          <w:bCs/>
          <w:color w:val="000000" w:themeColor="text1"/>
          <w:sz w:val="32"/>
          <w:szCs w:val="32"/>
          <w14:textFill>
            <w14:solidFill>
              <w14:schemeClr w14:val="tx1"/>
            </w14:solidFill>
          </w14:textFill>
        </w:rPr>
        <w:t>. 加强应急队伍建设。</w:t>
      </w:r>
      <w:r>
        <w:rPr>
          <w:rFonts w:ascii="Times New Roman" w:hAnsi="Times New Roman" w:eastAsia="仿宋_GB2312" w:cs="Times New Roman"/>
          <w:color w:val="000000" w:themeColor="text1"/>
          <w:sz w:val="32"/>
          <w:szCs w:val="32"/>
          <w14:textFill>
            <w14:solidFill>
              <w14:schemeClr w14:val="tx1"/>
            </w14:solidFill>
          </w14:textFill>
        </w:rPr>
        <w:t>统筹发展专（兼）职交通应急救援队伍和多种形式的应急救援力量，推动政企共建应急救援队伍，组织开展应急救援队伍技能培训或竞赛，加大个人防护装备、救生救援设备、应急通信设备、等应急装备配备力度，实现从</w:t>
      </w:r>
      <w:r>
        <w:rPr>
          <w:rFonts w:hint="eastAsia"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有</w:t>
      </w:r>
      <w:r>
        <w:rPr>
          <w:rFonts w:hint="eastAsia"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到</w:t>
      </w:r>
      <w:r>
        <w:rPr>
          <w:rFonts w:hint="eastAsia"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强</w:t>
      </w:r>
      <w:r>
        <w:rPr>
          <w:rFonts w:hint="eastAsia"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转变。</w:t>
      </w:r>
    </w:p>
    <w:p>
      <w:pPr>
        <w:pStyle w:val="9"/>
        <w:keepNext w:val="0"/>
        <w:keepLines w:val="0"/>
        <w:pageBreakBefore w:val="0"/>
        <w:widowControl w:val="0"/>
        <w:kinsoku/>
        <w:wordWrap/>
        <w:overflowPunct w:val="0"/>
        <w:topLinePunct w:val="0"/>
        <w:autoSpaceDE/>
        <w:autoSpaceDN/>
        <w:bidi w:val="0"/>
        <w:adjustRightInd/>
        <w:snapToGrid/>
        <w:spacing w:after="0" w:line="590" w:lineRule="exact"/>
        <w:ind w:left="0" w:leftChars="0"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楷体_GB2312" w:cs="Times New Roman"/>
          <w:b/>
          <w:bCs/>
          <w:color w:val="000000" w:themeColor="text1"/>
          <w:kern w:val="2"/>
          <w:sz w:val="32"/>
          <w:szCs w:val="32"/>
          <w:lang w:val="en-US" w:eastAsia="zh-CN" w:bidi="ar-SA"/>
          <w14:textFill>
            <w14:solidFill>
              <w14:schemeClr w14:val="tx1"/>
            </w14:solidFill>
          </w14:textFill>
        </w:rPr>
        <w:t>6</w:t>
      </w:r>
      <w:r>
        <w:rPr>
          <w:rFonts w:hint="default" w:ascii="Times New Roman" w:hAnsi="Times New Roman" w:eastAsia="楷体_GB2312" w:cs="Times New Roman"/>
          <w:b/>
          <w:bCs/>
          <w:color w:val="000000" w:themeColor="text1"/>
          <w:kern w:val="2"/>
          <w:sz w:val="32"/>
          <w:szCs w:val="32"/>
          <w:lang w:val="en-US" w:eastAsia="zh-CN" w:bidi="ar-SA"/>
          <w14:textFill>
            <w14:solidFill>
              <w14:schemeClr w14:val="tx1"/>
            </w14:solidFill>
          </w14:textFill>
        </w:rPr>
        <w:t>. 提升应急保障能力。</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开展</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道路、桥梁</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常态化自然灾害综合风险普查评估，强化普查工作成果应用。</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根据上级要求，及时开展</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应急物资调查统计和系统录入。建立健全统一指挥、功能齐全、反应灵敏、协调有序、运转高效、保障有力的应急管理体系，全面提升行业应急保障能力。</w:t>
      </w:r>
    </w:p>
    <w:p>
      <w:pPr>
        <w:pStyle w:val="13"/>
        <w:keepNext w:val="0"/>
        <w:keepLines w:val="0"/>
        <w:pageBreakBefore w:val="0"/>
        <w:widowControl w:val="0"/>
        <w:kinsoku/>
        <w:wordWrap/>
        <w:overflowPunct w:val="0"/>
        <w:topLinePunct w:val="0"/>
        <w:autoSpaceDE/>
        <w:autoSpaceDN/>
        <w:bidi w:val="0"/>
        <w:spacing w:line="590" w:lineRule="exact"/>
        <w:ind w:firstLine="643"/>
        <w:textAlignment w:val="auto"/>
        <w:rPr>
          <w:rFonts w:eastAsia="仿宋_GB2312"/>
          <w:color w:val="000000" w:themeColor="text1"/>
          <w:sz w:val="32"/>
          <w:szCs w:val="32"/>
          <w14:textFill>
            <w14:solidFill>
              <w14:schemeClr w14:val="tx1"/>
            </w14:solidFill>
          </w14:textFill>
        </w:rPr>
      </w:pPr>
      <w:r>
        <w:rPr>
          <w:rFonts w:eastAsia="楷体_GB2312"/>
          <w:b/>
          <w:bCs/>
          <w:color w:val="000000" w:themeColor="text1"/>
          <w:sz w:val="32"/>
          <w:szCs w:val="32"/>
          <w14:textFill>
            <w14:solidFill>
              <w14:schemeClr w14:val="tx1"/>
            </w14:solidFill>
          </w14:textFill>
        </w:rPr>
        <w:t>2</w:t>
      </w:r>
      <w:r>
        <w:rPr>
          <w:rFonts w:hint="eastAsia" w:eastAsia="楷体_GB2312"/>
          <w:b/>
          <w:bCs/>
          <w:color w:val="000000" w:themeColor="text1"/>
          <w:sz w:val="32"/>
          <w:szCs w:val="32"/>
          <w:lang w:val="en-US" w:eastAsia="zh-CN"/>
          <w14:textFill>
            <w14:solidFill>
              <w14:schemeClr w14:val="tx1"/>
            </w14:solidFill>
          </w14:textFill>
        </w:rPr>
        <w:t>7</w:t>
      </w:r>
      <w:r>
        <w:rPr>
          <w:rFonts w:eastAsia="楷体_GB2312"/>
          <w:b/>
          <w:bCs/>
          <w:color w:val="000000" w:themeColor="text1"/>
          <w:sz w:val="32"/>
          <w:szCs w:val="32"/>
          <w14:textFill>
            <w14:solidFill>
              <w14:schemeClr w14:val="tx1"/>
            </w14:solidFill>
          </w14:textFill>
        </w:rPr>
        <w:t>. 组织应急救援演练。</w:t>
      </w:r>
      <w:r>
        <w:rPr>
          <w:rFonts w:eastAsia="仿宋_GB2312"/>
          <w:color w:val="000000" w:themeColor="text1"/>
          <w:sz w:val="32"/>
          <w:szCs w:val="32"/>
          <w14:textFill>
            <w14:solidFill>
              <w14:schemeClr w14:val="tx1"/>
            </w14:solidFill>
          </w14:textFill>
        </w:rPr>
        <w:t>按照专项应急预案每年演练1次、现场处置方案每半年演练1次和每年至少组织1次桌面推演的要求，制定年度应急演练计划，通过实战演练、双盲拉练和桌面推演等形式，组织开展港口突发事件、路桥抢通、内河水上搜救、铁路突发事件、工程施工抢险、客运站场疏散、消防应急救援等方面的演习，做好练指挥、练协同、练战法、练保障的平时准备。推动生产经营单位至少组织开展1次全员应急疏散逃生演练。适时组织开展应急预案和演练工作执法检查，督促企业按最新要求和规定及时完成应急预案演练，重点突出岗位现场处置和疏散逃生，真正提升一线员工自救互救能力。</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八、强化安全工作基础保障</w:t>
      </w:r>
    </w:p>
    <w:p>
      <w:pPr>
        <w:keepNext w:val="0"/>
        <w:keepLines w:val="0"/>
        <w:pageBreakBefore w:val="0"/>
        <w:widowControl w:val="0"/>
        <w:tabs>
          <w:tab w:val="left" w:pos="312"/>
        </w:tabs>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2</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8</w:t>
      </w:r>
      <w:r>
        <w:rPr>
          <w:rFonts w:ascii="Times New Roman" w:hAnsi="Times New Roman" w:eastAsia="楷体_GB2312" w:cs="Times New Roman"/>
          <w:b/>
          <w:bCs/>
          <w:color w:val="000000" w:themeColor="text1"/>
          <w:sz w:val="32"/>
          <w:szCs w:val="32"/>
          <w14:textFill>
            <w14:solidFill>
              <w14:schemeClr w14:val="tx1"/>
            </w14:solidFill>
          </w14:textFill>
        </w:rPr>
        <w:t>. 强化安全文化宣传教育。</w:t>
      </w:r>
      <w:r>
        <w:rPr>
          <w:rFonts w:ascii="Times New Roman" w:hAnsi="Times New Roman" w:eastAsia="仿宋_GB2312" w:cs="Times New Roman"/>
          <w:color w:val="000000" w:themeColor="text1"/>
          <w:sz w:val="32"/>
          <w:szCs w:val="32"/>
          <w14:textFill>
            <w14:solidFill>
              <w14:schemeClr w14:val="tx1"/>
            </w14:solidFill>
          </w14:textFill>
        </w:rPr>
        <w:t>推进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安全生产月</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百团进百万企业千万员工</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、安全生产</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五进</w:t>
      </w:r>
      <w:r>
        <w:rPr>
          <w:rFonts w:hint="eastAsia" w:ascii="Times New Roman" w:hAnsi="Times New Roman" w:eastAsia="仿宋_GB2312" w:cs="Times New Roman"/>
          <w:snapToGrid w:val="0"/>
          <w:color w:val="000000" w:themeColor="text1"/>
          <w:kern w:val="0"/>
          <w:sz w:val="32"/>
          <w:szCs w:val="32"/>
          <w:lang w:eastAsia="zh-CN"/>
          <w14:textFill>
            <w14:solidFill>
              <w14:schemeClr w14:val="tx1"/>
            </w14:solidFill>
          </w14:textFill>
        </w:rPr>
        <w:t>”</w:t>
      </w:r>
      <w:r>
        <w:rPr>
          <w:rFonts w:ascii="Times New Roman" w:hAnsi="Times New Roman" w:eastAsia="仿宋_GB2312" w:cs="Times New Roman"/>
          <w:snapToGrid w:val="0"/>
          <w:color w:val="000000" w:themeColor="text1"/>
          <w:kern w:val="0"/>
          <w:sz w:val="32"/>
          <w:szCs w:val="32"/>
          <w14:textFill>
            <w14:solidFill>
              <w14:schemeClr w14:val="tx1"/>
            </w14:solidFill>
          </w14:textFill>
        </w:rPr>
        <w:t>宣传</w:t>
      </w:r>
      <w:r>
        <w:rPr>
          <w:rFonts w:ascii="Times New Roman" w:hAnsi="Times New Roman" w:eastAsia="仿宋_GB2312" w:cs="Times New Roman"/>
          <w:color w:val="000000" w:themeColor="text1"/>
          <w:sz w:val="32"/>
          <w:szCs w:val="32"/>
          <w14:textFill>
            <w14:solidFill>
              <w14:schemeClr w14:val="tx1"/>
            </w14:solidFill>
          </w14:textFill>
        </w:rPr>
        <w:t>活动，组织安全生产专题学习宣讲，深入企业、基层一线，解读重大事故隐患判定标准和重点检查事项，让标准规范在企业落地生根。开展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安康杯</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竞赛、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平安交通</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典型案例评选和安全生产微电影、微视频、微动漫征集等，培育安全文化品牌。利用车站等人员密集场所和公交移动电视等平台开展安全宣传，普及交通运输行业安全知识和救援技能，营造浓厚的安全文化氛围。组织开展复产复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开工第一课</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，提升从业人员安全意识。</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楷体_GB2312" w:cs="Times New Roman"/>
          <w:b/>
          <w:bCs/>
          <w:color w:val="000000" w:themeColor="text1"/>
          <w:sz w:val="32"/>
          <w:szCs w:val="32"/>
          <w14:textFill>
            <w14:solidFill>
              <w14:schemeClr w14:val="tx1"/>
            </w14:solidFill>
          </w14:textFill>
        </w:rPr>
        <w:t>2</w:t>
      </w: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9</w:t>
      </w:r>
      <w:r>
        <w:rPr>
          <w:rFonts w:ascii="Times New Roman" w:hAnsi="Times New Roman" w:eastAsia="楷体_GB2312" w:cs="Times New Roman"/>
          <w:b/>
          <w:bCs/>
          <w:color w:val="000000" w:themeColor="text1"/>
          <w:sz w:val="32"/>
          <w:szCs w:val="32"/>
          <w14:textFill>
            <w14:solidFill>
              <w14:schemeClr w14:val="tx1"/>
            </w14:solidFill>
          </w14:textFill>
        </w:rPr>
        <w:t>. 提升从业人员安全素质。</w:t>
      </w:r>
      <w:r>
        <w:rPr>
          <w:rFonts w:ascii="Times New Roman" w:hAnsi="Times New Roman" w:eastAsia="仿宋_GB2312" w:cs="Times New Roman"/>
          <w:color w:val="000000" w:themeColor="text1"/>
          <w:sz w:val="32"/>
          <w:szCs w:val="32"/>
          <w14:textFill>
            <w14:solidFill>
              <w14:schemeClr w14:val="tx1"/>
            </w14:solidFill>
          </w14:textFill>
        </w:rPr>
        <w:t>组织重点行业领域生产经营单位主要负责人开展一轮全覆盖安全教育培训，严格重点行业生产经营单位主要负责人、安全管理人员安全生产知识和管理能力考核，将重大事故隐患排查整治有关要求作为培训考核的重要内容。推动生产经营单位加强外包外租等关联单位的安全生产指导、监督，将接受其指令的劳务派遣、灵活用工等人员纳入本单位安全生产管理体系，严格安全培训和管理。充分运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交通运输从业人员智能教育云平台</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工地云课堂</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工程云专家</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等从业人员安全培训教育平台，不断提高安全教育覆盖范围和成效。持续推进港口从业人员专业化队伍建设，港口危险货物仓储企业安全管理人员中至少有2名、装卸企业安全管理人员中至少有1名具有中级及以上化工专业技术职称或化工安全类注册安全工程师资格。指导督促城市公交运营单位建立健全驾驶员身心健康评估机制。</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30</w:t>
      </w:r>
      <w:r>
        <w:rPr>
          <w:rFonts w:ascii="Times New Roman" w:hAnsi="Times New Roman" w:eastAsia="楷体_GB2312" w:cs="Times New Roman"/>
          <w:b/>
          <w:bCs/>
          <w:color w:val="000000" w:themeColor="text1"/>
          <w:sz w:val="32"/>
          <w:szCs w:val="32"/>
          <w14:textFill>
            <w14:solidFill>
              <w14:schemeClr w14:val="tx1"/>
            </w14:solidFill>
          </w14:textFill>
        </w:rPr>
        <w:t>. 推进安全领域信用管理。</w:t>
      </w:r>
      <w:r>
        <w:rPr>
          <w:rFonts w:ascii="Times New Roman" w:hAnsi="Times New Roman" w:eastAsia="仿宋_GB2312" w:cs="Times New Roman"/>
          <w:color w:val="000000" w:themeColor="text1"/>
          <w:sz w:val="32"/>
          <w:szCs w:val="32"/>
          <w14:textFill>
            <w14:solidFill>
              <w14:schemeClr w14:val="tx1"/>
            </w14:solidFill>
          </w14:textFill>
        </w:rPr>
        <w:t>加大守信联合激励和失信联合惩戒工作，及时向社会公布企业安全生产信用情况，倒逼企业诚实守信，维护自身信用等级。深入推进信用管安，在开展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两客一危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赋码管理、港口企业分级分类监管基础上，进一步加大信用监管覆盖范围，打造以信用为核心的分级分类、差异化监管机制。严格执行安全生产领域失信联合惩戒和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黑名单</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管理制度，对存在重大隐患整改不力、严重违法违规行为和发生有较大社会影响的生产安全事故企业，强化联合惩戒力度，提高企业违法成本。充分利用公共信用信息平台、主流媒体及其他现代传播手段，加大对失信联合惩戒工作的宣传力度，引导相关从业单位和从业人员强化安全生产、诚信生产责任意识。</w:t>
      </w:r>
    </w:p>
    <w:p>
      <w:pPr>
        <w:keepNext w:val="0"/>
        <w:keepLines w:val="0"/>
        <w:pageBreakBefore w:val="0"/>
        <w:widowControl w:val="0"/>
        <w:kinsoku/>
        <w:wordWrap/>
        <w:overflowPunct w:val="0"/>
        <w:topLinePunct w:val="0"/>
        <w:autoSpaceDE/>
        <w:autoSpaceDN/>
        <w:bidi w:val="0"/>
        <w:spacing w:line="590" w:lineRule="exact"/>
        <w:ind w:firstLine="643"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b/>
          <w:bCs/>
          <w:color w:val="000000" w:themeColor="text1"/>
          <w:sz w:val="32"/>
          <w:szCs w:val="32"/>
          <w:lang w:val="en-US" w:eastAsia="zh-CN"/>
          <w14:textFill>
            <w14:solidFill>
              <w14:schemeClr w14:val="tx1"/>
            </w14:solidFill>
          </w14:textFill>
        </w:rPr>
        <w:t>31</w:t>
      </w:r>
      <w:r>
        <w:rPr>
          <w:rFonts w:ascii="Times New Roman" w:hAnsi="Times New Roman" w:eastAsia="楷体_GB2312" w:cs="Times New Roman"/>
          <w:b/>
          <w:bCs/>
          <w:color w:val="000000" w:themeColor="text1"/>
          <w:sz w:val="32"/>
          <w:szCs w:val="32"/>
          <w14:textFill>
            <w14:solidFill>
              <w14:schemeClr w14:val="tx1"/>
            </w14:solidFill>
          </w14:textFill>
        </w:rPr>
        <w:t>. 做好重点时段安全防范。</w:t>
      </w:r>
      <w:r>
        <w:rPr>
          <w:rFonts w:ascii="Times New Roman" w:hAnsi="Times New Roman" w:eastAsia="仿宋_GB2312" w:cs="Times New Roman"/>
          <w:color w:val="000000" w:themeColor="text1"/>
          <w:sz w:val="32"/>
          <w:szCs w:val="32"/>
          <w14:textFill>
            <w14:solidFill>
              <w14:schemeClr w14:val="tx1"/>
            </w14:solidFill>
          </w14:textFill>
        </w:rPr>
        <w:t>切实做好国家重大活动、重要节假日、春运、暑期、汛期等重点时段和台风、寒潮大风、雨雪冰冻等极端天气安全生产风险防范和服务保障工作，落实责任，制定方案，完善措施，强化督查，确保重点时段全县交通运输行业安全生产形势持续稳定。加强与气象、公安、应急、消防等部门联系会商，完善应对恶劣天气和自然灾害的跨部门沟通协调和信息共享机制，优化并严格落实预警预防、值班值守、应急准备和信息报送相关制度。</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各单位</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各科室依据职责和本要点工作安排，结合行业实际，进一步明确目标，研究制定工作举措，落实落细各项任务。局安委会办公室将强化督促指导，及时</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调度</w:t>
      </w:r>
      <w:r>
        <w:rPr>
          <w:rFonts w:ascii="Times New Roman" w:hAnsi="Times New Roman" w:eastAsia="仿宋_GB2312" w:cs="Times New Roman"/>
          <w:color w:val="000000" w:themeColor="text1"/>
          <w:sz w:val="32"/>
          <w:szCs w:val="32"/>
          <w14:textFill>
            <w14:solidFill>
              <w14:schemeClr w14:val="tx1"/>
            </w14:solidFill>
          </w14:textFill>
        </w:rPr>
        <w:t>工作进展情况，确保各项</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工作</w:t>
      </w:r>
      <w:r>
        <w:rPr>
          <w:rFonts w:ascii="Times New Roman" w:hAnsi="Times New Roman" w:eastAsia="仿宋_GB2312" w:cs="Times New Roman"/>
          <w:color w:val="000000" w:themeColor="text1"/>
          <w:sz w:val="32"/>
          <w:szCs w:val="32"/>
          <w14:textFill>
            <w14:solidFill>
              <w14:schemeClr w14:val="tx1"/>
            </w14:solidFill>
          </w14:textFill>
        </w:rPr>
        <w:t>落实到位。</w:t>
      </w:r>
    </w:p>
    <w:p>
      <w:pPr>
        <w:spacing w:line="240" w:lineRule="auto"/>
        <w:ind w:firstLine="240" w:firstLineChars="100"/>
        <w:rPr>
          <w:rFonts w:ascii="Times New Roman" w:hAnsi="Times New Roman" w:eastAsia="仿宋_GB2312" w:cs="Times New Roman"/>
          <w:sz w:val="24"/>
          <w:szCs w:val="24"/>
        </w:rPr>
      </w:pPr>
    </w:p>
    <w:p>
      <w:pPr>
        <w:spacing w:line="240" w:lineRule="auto"/>
        <w:ind w:firstLine="240" w:firstLineChars="100"/>
        <w:rPr>
          <w:rFonts w:ascii="Times New Roman" w:hAnsi="Times New Roman" w:eastAsia="仿宋_GB2312" w:cs="Times New Roman"/>
          <w:sz w:val="24"/>
          <w:szCs w:val="24"/>
        </w:rPr>
      </w:pPr>
      <w:bookmarkStart w:id="0" w:name="_GoBack"/>
      <w:bookmarkEnd w:id="0"/>
    </w:p>
    <w:sectPr>
      <w:footerReference r:id="rId3" w:type="default"/>
      <w:footerReference r:id="rId4" w:type="even"/>
      <w:pgSz w:w="11906" w:h="16838"/>
      <w:pgMar w:top="1701"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汉鼎简大宋">
    <w:altName w:val="宋体"/>
    <w:panose1 w:val="00000000000000000000"/>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firstLineChars="20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xODk4OWFhZmJlYTdjY2I3MWE2M2Y2MDcxYWZhYWQifQ=="/>
  </w:docVars>
  <w:rsids>
    <w:rsidRoot w:val="13555151"/>
    <w:rsid w:val="00020FBF"/>
    <w:rsid w:val="00056DE2"/>
    <w:rsid w:val="001369D1"/>
    <w:rsid w:val="002411CA"/>
    <w:rsid w:val="002F172A"/>
    <w:rsid w:val="003238F3"/>
    <w:rsid w:val="003430E1"/>
    <w:rsid w:val="003A7F33"/>
    <w:rsid w:val="003C6D57"/>
    <w:rsid w:val="00505C7A"/>
    <w:rsid w:val="005A6A73"/>
    <w:rsid w:val="006A6EFE"/>
    <w:rsid w:val="006C00F4"/>
    <w:rsid w:val="008710CF"/>
    <w:rsid w:val="00A1272E"/>
    <w:rsid w:val="00A568CC"/>
    <w:rsid w:val="00AD4D01"/>
    <w:rsid w:val="00B07525"/>
    <w:rsid w:val="00C673AB"/>
    <w:rsid w:val="00E52207"/>
    <w:rsid w:val="00E6098D"/>
    <w:rsid w:val="01132522"/>
    <w:rsid w:val="012E3920"/>
    <w:rsid w:val="01644FD4"/>
    <w:rsid w:val="01657A92"/>
    <w:rsid w:val="01980A8F"/>
    <w:rsid w:val="01AE649A"/>
    <w:rsid w:val="0200347B"/>
    <w:rsid w:val="02671B41"/>
    <w:rsid w:val="02D33050"/>
    <w:rsid w:val="030C2844"/>
    <w:rsid w:val="035D470A"/>
    <w:rsid w:val="03FE7C67"/>
    <w:rsid w:val="04444F43"/>
    <w:rsid w:val="046A6B53"/>
    <w:rsid w:val="046E3572"/>
    <w:rsid w:val="04834C98"/>
    <w:rsid w:val="04CE6A23"/>
    <w:rsid w:val="04F73F86"/>
    <w:rsid w:val="051F0375"/>
    <w:rsid w:val="05254F53"/>
    <w:rsid w:val="05A075E1"/>
    <w:rsid w:val="060B7BD4"/>
    <w:rsid w:val="065077B3"/>
    <w:rsid w:val="06720733"/>
    <w:rsid w:val="067655C2"/>
    <w:rsid w:val="069D67D1"/>
    <w:rsid w:val="07674044"/>
    <w:rsid w:val="07DA1108"/>
    <w:rsid w:val="089512F4"/>
    <w:rsid w:val="09112580"/>
    <w:rsid w:val="09162153"/>
    <w:rsid w:val="094A7178"/>
    <w:rsid w:val="09A2051A"/>
    <w:rsid w:val="09D81ABC"/>
    <w:rsid w:val="0A59102B"/>
    <w:rsid w:val="0ADA673D"/>
    <w:rsid w:val="0AF901F2"/>
    <w:rsid w:val="0B49653A"/>
    <w:rsid w:val="0B4D6C5B"/>
    <w:rsid w:val="0BF34C21"/>
    <w:rsid w:val="0C802ECB"/>
    <w:rsid w:val="0CC850D1"/>
    <w:rsid w:val="0CD66FEC"/>
    <w:rsid w:val="0D744E9E"/>
    <w:rsid w:val="0D921D11"/>
    <w:rsid w:val="0DB15984"/>
    <w:rsid w:val="0E286097"/>
    <w:rsid w:val="0E735CFC"/>
    <w:rsid w:val="0EAC64FD"/>
    <w:rsid w:val="0EBC0D8D"/>
    <w:rsid w:val="0EC304C7"/>
    <w:rsid w:val="0ED030ED"/>
    <w:rsid w:val="0F5F193F"/>
    <w:rsid w:val="0F860488"/>
    <w:rsid w:val="0F9E5F7A"/>
    <w:rsid w:val="0FAA5D64"/>
    <w:rsid w:val="100864DA"/>
    <w:rsid w:val="10375FFA"/>
    <w:rsid w:val="106C1DA1"/>
    <w:rsid w:val="10BE1D0B"/>
    <w:rsid w:val="110730D6"/>
    <w:rsid w:val="11157962"/>
    <w:rsid w:val="111B188F"/>
    <w:rsid w:val="11395F93"/>
    <w:rsid w:val="115A7205"/>
    <w:rsid w:val="11605083"/>
    <w:rsid w:val="11661C27"/>
    <w:rsid w:val="11915E2C"/>
    <w:rsid w:val="11C40DED"/>
    <w:rsid w:val="129F4375"/>
    <w:rsid w:val="12B87B8C"/>
    <w:rsid w:val="12BE20E8"/>
    <w:rsid w:val="133B697B"/>
    <w:rsid w:val="13540AFD"/>
    <w:rsid w:val="13555151"/>
    <w:rsid w:val="13906AB2"/>
    <w:rsid w:val="13DF63C8"/>
    <w:rsid w:val="1438792D"/>
    <w:rsid w:val="145433E3"/>
    <w:rsid w:val="150C56B7"/>
    <w:rsid w:val="15AC4E4A"/>
    <w:rsid w:val="15E33C49"/>
    <w:rsid w:val="161374C6"/>
    <w:rsid w:val="163C6B55"/>
    <w:rsid w:val="167759B2"/>
    <w:rsid w:val="16850115"/>
    <w:rsid w:val="16A42D46"/>
    <w:rsid w:val="16BA0D91"/>
    <w:rsid w:val="16E86D29"/>
    <w:rsid w:val="16EC468C"/>
    <w:rsid w:val="16F141F6"/>
    <w:rsid w:val="177E4FB7"/>
    <w:rsid w:val="178B4CCC"/>
    <w:rsid w:val="17DE0882"/>
    <w:rsid w:val="17E166BD"/>
    <w:rsid w:val="184715BE"/>
    <w:rsid w:val="184D1CBE"/>
    <w:rsid w:val="18AC621B"/>
    <w:rsid w:val="194B7DA4"/>
    <w:rsid w:val="1966190C"/>
    <w:rsid w:val="19B4308D"/>
    <w:rsid w:val="19BC7FF5"/>
    <w:rsid w:val="19EF081F"/>
    <w:rsid w:val="19F73C4A"/>
    <w:rsid w:val="1A3C3EA4"/>
    <w:rsid w:val="1AE04017"/>
    <w:rsid w:val="1AE8455B"/>
    <w:rsid w:val="1AF42143"/>
    <w:rsid w:val="1BDC328F"/>
    <w:rsid w:val="1C034B83"/>
    <w:rsid w:val="1C224C9A"/>
    <w:rsid w:val="1C9455ED"/>
    <w:rsid w:val="1C9E7582"/>
    <w:rsid w:val="1CD90465"/>
    <w:rsid w:val="1DBB1B6E"/>
    <w:rsid w:val="1DD051F1"/>
    <w:rsid w:val="1DFC10E2"/>
    <w:rsid w:val="1E5C09FC"/>
    <w:rsid w:val="1E5C5366"/>
    <w:rsid w:val="1EBE260B"/>
    <w:rsid w:val="1EC26ED1"/>
    <w:rsid w:val="1F1E5180"/>
    <w:rsid w:val="1F2B24E0"/>
    <w:rsid w:val="1F740090"/>
    <w:rsid w:val="1F7633E9"/>
    <w:rsid w:val="1FDF2DD7"/>
    <w:rsid w:val="200406EC"/>
    <w:rsid w:val="20095327"/>
    <w:rsid w:val="201051BC"/>
    <w:rsid w:val="20157FD8"/>
    <w:rsid w:val="205F5BFE"/>
    <w:rsid w:val="208B2314"/>
    <w:rsid w:val="20B162CA"/>
    <w:rsid w:val="20F628A7"/>
    <w:rsid w:val="21540961"/>
    <w:rsid w:val="215B6C6A"/>
    <w:rsid w:val="21894A74"/>
    <w:rsid w:val="21BF2E44"/>
    <w:rsid w:val="22B06088"/>
    <w:rsid w:val="22F91C3B"/>
    <w:rsid w:val="235340C3"/>
    <w:rsid w:val="25970C9D"/>
    <w:rsid w:val="25CA005C"/>
    <w:rsid w:val="25E94826"/>
    <w:rsid w:val="261A66EB"/>
    <w:rsid w:val="263D5262"/>
    <w:rsid w:val="26A019F3"/>
    <w:rsid w:val="26A11DE5"/>
    <w:rsid w:val="26C81292"/>
    <w:rsid w:val="26E55602"/>
    <w:rsid w:val="271B4D6D"/>
    <w:rsid w:val="275A3B6F"/>
    <w:rsid w:val="27E273D2"/>
    <w:rsid w:val="280E52F6"/>
    <w:rsid w:val="281B1230"/>
    <w:rsid w:val="285F0C56"/>
    <w:rsid w:val="286577C2"/>
    <w:rsid w:val="2875465A"/>
    <w:rsid w:val="297F2DFF"/>
    <w:rsid w:val="299641AC"/>
    <w:rsid w:val="2A5B77F8"/>
    <w:rsid w:val="2AD445D8"/>
    <w:rsid w:val="2AED3A81"/>
    <w:rsid w:val="2AF1503C"/>
    <w:rsid w:val="2AF512A3"/>
    <w:rsid w:val="2B3B5DAA"/>
    <w:rsid w:val="2BAD011E"/>
    <w:rsid w:val="2C4612DD"/>
    <w:rsid w:val="2CBE120F"/>
    <w:rsid w:val="2D134EAF"/>
    <w:rsid w:val="2D38523C"/>
    <w:rsid w:val="2E503A41"/>
    <w:rsid w:val="2E907940"/>
    <w:rsid w:val="2EA17473"/>
    <w:rsid w:val="2ECD2F3A"/>
    <w:rsid w:val="2EE6522A"/>
    <w:rsid w:val="2F1A4724"/>
    <w:rsid w:val="2F433445"/>
    <w:rsid w:val="2F536F3A"/>
    <w:rsid w:val="2F5A0A6F"/>
    <w:rsid w:val="2FC86C69"/>
    <w:rsid w:val="2FD0033B"/>
    <w:rsid w:val="2FD1784B"/>
    <w:rsid w:val="30026DA7"/>
    <w:rsid w:val="30116C35"/>
    <w:rsid w:val="302B2F15"/>
    <w:rsid w:val="304B106F"/>
    <w:rsid w:val="307223A8"/>
    <w:rsid w:val="30BA26C8"/>
    <w:rsid w:val="315B373D"/>
    <w:rsid w:val="31A31F0E"/>
    <w:rsid w:val="32150BDA"/>
    <w:rsid w:val="322964DF"/>
    <w:rsid w:val="324034B1"/>
    <w:rsid w:val="326A5922"/>
    <w:rsid w:val="33096C60"/>
    <w:rsid w:val="3338139B"/>
    <w:rsid w:val="33667CD3"/>
    <w:rsid w:val="33812F3C"/>
    <w:rsid w:val="33E76D8B"/>
    <w:rsid w:val="33F652B7"/>
    <w:rsid w:val="3444264B"/>
    <w:rsid w:val="34AA6620"/>
    <w:rsid w:val="351A3587"/>
    <w:rsid w:val="35274481"/>
    <w:rsid w:val="353C12D8"/>
    <w:rsid w:val="353C7BFF"/>
    <w:rsid w:val="354D5ADD"/>
    <w:rsid w:val="3577346E"/>
    <w:rsid w:val="362D332D"/>
    <w:rsid w:val="369E41A7"/>
    <w:rsid w:val="36E45417"/>
    <w:rsid w:val="37153B2E"/>
    <w:rsid w:val="37A53503"/>
    <w:rsid w:val="37CB2508"/>
    <w:rsid w:val="37F52249"/>
    <w:rsid w:val="3842634E"/>
    <w:rsid w:val="387853FC"/>
    <w:rsid w:val="38CE3507"/>
    <w:rsid w:val="3906682E"/>
    <w:rsid w:val="39646A34"/>
    <w:rsid w:val="397159A8"/>
    <w:rsid w:val="397555AF"/>
    <w:rsid w:val="397A7947"/>
    <w:rsid w:val="39CF28B6"/>
    <w:rsid w:val="3A184B1B"/>
    <w:rsid w:val="3A203E59"/>
    <w:rsid w:val="3A583F8B"/>
    <w:rsid w:val="3AA92BD5"/>
    <w:rsid w:val="3B01433C"/>
    <w:rsid w:val="3B23360E"/>
    <w:rsid w:val="3B497490"/>
    <w:rsid w:val="3B7A72EC"/>
    <w:rsid w:val="3C9A18AE"/>
    <w:rsid w:val="3D00005F"/>
    <w:rsid w:val="3D351EF5"/>
    <w:rsid w:val="3D534FBE"/>
    <w:rsid w:val="3D57629E"/>
    <w:rsid w:val="3D9D7539"/>
    <w:rsid w:val="3E151BCD"/>
    <w:rsid w:val="3E3C572C"/>
    <w:rsid w:val="3EA6655E"/>
    <w:rsid w:val="3F0D3ECF"/>
    <w:rsid w:val="3F7C5398"/>
    <w:rsid w:val="3FF139C4"/>
    <w:rsid w:val="3FF143E1"/>
    <w:rsid w:val="404A5193"/>
    <w:rsid w:val="409E7EB3"/>
    <w:rsid w:val="40AC5B50"/>
    <w:rsid w:val="40D532EC"/>
    <w:rsid w:val="40FA0AC0"/>
    <w:rsid w:val="40FE6105"/>
    <w:rsid w:val="41636221"/>
    <w:rsid w:val="41B90F18"/>
    <w:rsid w:val="41FF74DA"/>
    <w:rsid w:val="42184271"/>
    <w:rsid w:val="421C4062"/>
    <w:rsid w:val="422F308F"/>
    <w:rsid w:val="42335C98"/>
    <w:rsid w:val="4242060A"/>
    <w:rsid w:val="42B53820"/>
    <w:rsid w:val="430F09CE"/>
    <w:rsid w:val="43224F22"/>
    <w:rsid w:val="432942FE"/>
    <w:rsid w:val="437024D2"/>
    <w:rsid w:val="438625E1"/>
    <w:rsid w:val="43CE65B8"/>
    <w:rsid w:val="43F91181"/>
    <w:rsid w:val="440C57B3"/>
    <w:rsid w:val="443658FB"/>
    <w:rsid w:val="44B95B43"/>
    <w:rsid w:val="44EA5185"/>
    <w:rsid w:val="44ED592A"/>
    <w:rsid w:val="45DC43E5"/>
    <w:rsid w:val="4639412C"/>
    <w:rsid w:val="46404424"/>
    <w:rsid w:val="4652300D"/>
    <w:rsid w:val="46A31D87"/>
    <w:rsid w:val="46AC48A2"/>
    <w:rsid w:val="46D279F0"/>
    <w:rsid w:val="46E024DE"/>
    <w:rsid w:val="470C7017"/>
    <w:rsid w:val="476B46BA"/>
    <w:rsid w:val="47E86EE7"/>
    <w:rsid w:val="48443B21"/>
    <w:rsid w:val="48824F91"/>
    <w:rsid w:val="49160C32"/>
    <w:rsid w:val="492540C4"/>
    <w:rsid w:val="496D3359"/>
    <w:rsid w:val="497C0614"/>
    <w:rsid w:val="49C360A0"/>
    <w:rsid w:val="49E006FA"/>
    <w:rsid w:val="49EC7A86"/>
    <w:rsid w:val="4A0D4CFE"/>
    <w:rsid w:val="4A1F1020"/>
    <w:rsid w:val="4ACD4540"/>
    <w:rsid w:val="4AD60767"/>
    <w:rsid w:val="4AE136FC"/>
    <w:rsid w:val="4AE21756"/>
    <w:rsid w:val="4B1A612D"/>
    <w:rsid w:val="4B966749"/>
    <w:rsid w:val="4BF4580C"/>
    <w:rsid w:val="4BFA39C5"/>
    <w:rsid w:val="4C855773"/>
    <w:rsid w:val="4C8F43B2"/>
    <w:rsid w:val="4C952A0B"/>
    <w:rsid w:val="4CD853AD"/>
    <w:rsid w:val="4D317B8A"/>
    <w:rsid w:val="4D5322FD"/>
    <w:rsid w:val="4D8E3D6F"/>
    <w:rsid w:val="4E1F019F"/>
    <w:rsid w:val="4E1F1969"/>
    <w:rsid w:val="4E2C28FB"/>
    <w:rsid w:val="4E3B6859"/>
    <w:rsid w:val="4EAF7709"/>
    <w:rsid w:val="4EBC1237"/>
    <w:rsid w:val="4F440E54"/>
    <w:rsid w:val="4F6B267E"/>
    <w:rsid w:val="4F732A4B"/>
    <w:rsid w:val="50023C8D"/>
    <w:rsid w:val="50134518"/>
    <w:rsid w:val="501E25D6"/>
    <w:rsid w:val="50463B25"/>
    <w:rsid w:val="50650D58"/>
    <w:rsid w:val="506828EA"/>
    <w:rsid w:val="50837613"/>
    <w:rsid w:val="50A12BC1"/>
    <w:rsid w:val="50BB7BE5"/>
    <w:rsid w:val="50C5578E"/>
    <w:rsid w:val="50D87FAB"/>
    <w:rsid w:val="50E03341"/>
    <w:rsid w:val="50E25854"/>
    <w:rsid w:val="51230959"/>
    <w:rsid w:val="517510AB"/>
    <w:rsid w:val="51C22174"/>
    <w:rsid w:val="51C84FCA"/>
    <w:rsid w:val="525C1230"/>
    <w:rsid w:val="52A16915"/>
    <w:rsid w:val="52AE4217"/>
    <w:rsid w:val="53226958"/>
    <w:rsid w:val="53962545"/>
    <w:rsid w:val="53C41DB9"/>
    <w:rsid w:val="53E90B5D"/>
    <w:rsid w:val="53EA1D94"/>
    <w:rsid w:val="53FC739C"/>
    <w:rsid w:val="54C84AC0"/>
    <w:rsid w:val="556A59F3"/>
    <w:rsid w:val="557D233C"/>
    <w:rsid w:val="55874F46"/>
    <w:rsid w:val="55A70D3A"/>
    <w:rsid w:val="55ED019F"/>
    <w:rsid w:val="562B40FC"/>
    <w:rsid w:val="562F35BD"/>
    <w:rsid w:val="56561A61"/>
    <w:rsid w:val="567051E6"/>
    <w:rsid w:val="568C3358"/>
    <w:rsid w:val="56BC528D"/>
    <w:rsid w:val="56BE1D59"/>
    <w:rsid w:val="56DA1A65"/>
    <w:rsid w:val="56EB5E8B"/>
    <w:rsid w:val="56ED1ECC"/>
    <w:rsid w:val="58810DA0"/>
    <w:rsid w:val="589075E6"/>
    <w:rsid w:val="59022530"/>
    <w:rsid w:val="591A49E1"/>
    <w:rsid w:val="599A3C3E"/>
    <w:rsid w:val="59A7592E"/>
    <w:rsid w:val="5A0C5A2A"/>
    <w:rsid w:val="5A2F7754"/>
    <w:rsid w:val="5A3411DE"/>
    <w:rsid w:val="5ABF029F"/>
    <w:rsid w:val="5AD704E1"/>
    <w:rsid w:val="5B354186"/>
    <w:rsid w:val="5B55380B"/>
    <w:rsid w:val="5B7660AC"/>
    <w:rsid w:val="5B79012A"/>
    <w:rsid w:val="5BCE0DCF"/>
    <w:rsid w:val="5BF366B1"/>
    <w:rsid w:val="5C2C5B3D"/>
    <w:rsid w:val="5C3B0A71"/>
    <w:rsid w:val="5C7F14E3"/>
    <w:rsid w:val="5CD725D8"/>
    <w:rsid w:val="5CEA0DF7"/>
    <w:rsid w:val="5D4C4B82"/>
    <w:rsid w:val="5DDE7F4D"/>
    <w:rsid w:val="5E2F4735"/>
    <w:rsid w:val="5E38612D"/>
    <w:rsid w:val="5E3C31F5"/>
    <w:rsid w:val="5E4324D5"/>
    <w:rsid w:val="5EC74789"/>
    <w:rsid w:val="5EC871C0"/>
    <w:rsid w:val="5EE72D95"/>
    <w:rsid w:val="5F764B05"/>
    <w:rsid w:val="5FAE377A"/>
    <w:rsid w:val="5FFC5208"/>
    <w:rsid w:val="60515974"/>
    <w:rsid w:val="60517270"/>
    <w:rsid w:val="60B445A9"/>
    <w:rsid w:val="617135FC"/>
    <w:rsid w:val="61AA7D7B"/>
    <w:rsid w:val="61C3042C"/>
    <w:rsid w:val="61ED4C4E"/>
    <w:rsid w:val="621B20E3"/>
    <w:rsid w:val="625642AF"/>
    <w:rsid w:val="626A0FDF"/>
    <w:rsid w:val="62B33EBC"/>
    <w:rsid w:val="63286121"/>
    <w:rsid w:val="633053F5"/>
    <w:rsid w:val="63421BA8"/>
    <w:rsid w:val="636F7E4F"/>
    <w:rsid w:val="638C176B"/>
    <w:rsid w:val="641A5E8C"/>
    <w:rsid w:val="64404704"/>
    <w:rsid w:val="64C2114D"/>
    <w:rsid w:val="64FA2550"/>
    <w:rsid w:val="654F1DEF"/>
    <w:rsid w:val="656A3DED"/>
    <w:rsid w:val="656C3DAE"/>
    <w:rsid w:val="65A407D4"/>
    <w:rsid w:val="65BA0C05"/>
    <w:rsid w:val="65D07B0C"/>
    <w:rsid w:val="662F6961"/>
    <w:rsid w:val="6650590C"/>
    <w:rsid w:val="66507A0F"/>
    <w:rsid w:val="66566C86"/>
    <w:rsid w:val="670A1E47"/>
    <w:rsid w:val="670B6AB6"/>
    <w:rsid w:val="67261E9D"/>
    <w:rsid w:val="67356A73"/>
    <w:rsid w:val="677927AC"/>
    <w:rsid w:val="678974F3"/>
    <w:rsid w:val="687B7B4E"/>
    <w:rsid w:val="68C67E07"/>
    <w:rsid w:val="68CE1685"/>
    <w:rsid w:val="68DC311C"/>
    <w:rsid w:val="69227B1D"/>
    <w:rsid w:val="69B331C0"/>
    <w:rsid w:val="69F21DD0"/>
    <w:rsid w:val="6A29607A"/>
    <w:rsid w:val="6A7C79F0"/>
    <w:rsid w:val="6AA97A61"/>
    <w:rsid w:val="6B06527D"/>
    <w:rsid w:val="6C7037CD"/>
    <w:rsid w:val="6CFE1A3F"/>
    <w:rsid w:val="6D1A07DA"/>
    <w:rsid w:val="6D2367F7"/>
    <w:rsid w:val="6D272FFB"/>
    <w:rsid w:val="6D2A7FAE"/>
    <w:rsid w:val="6D4C682F"/>
    <w:rsid w:val="6D814C74"/>
    <w:rsid w:val="6D985568"/>
    <w:rsid w:val="6D990106"/>
    <w:rsid w:val="6DB63B68"/>
    <w:rsid w:val="6DFD1281"/>
    <w:rsid w:val="6E766C59"/>
    <w:rsid w:val="6E916B97"/>
    <w:rsid w:val="6E9C1935"/>
    <w:rsid w:val="6EB84513"/>
    <w:rsid w:val="6EF54032"/>
    <w:rsid w:val="6F07682C"/>
    <w:rsid w:val="6F4E1748"/>
    <w:rsid w:val="6F6C0A36"/>
    <w:rsid w:val="6F907892"/>
    <w:rsid w:val="6FAC0487"/>
    <w:rsid w:val="70046649"/>
    <w:rsid w:val="70141838"/>
    <w:rsid w:val="70DF7D02"/>
    <w:rsid w:val="70F64813"/>
    <w:rsid w:val="711D64D1"/>
    <w:rsid w:val="712E6358"/>
    <w:rsid w:val="71702268"/>
    <w:rsid w:val="71F15861"/>
    <w:rsid w:val="72460EFB"/>
    <w:rsid w:val="727C490D"/>
    <w:rsid w:val="73951E9D"/>
    <w:rsid w:val="73EE42D7"/>
    <w:rsid w:val="740B7F96"/>
    <w:rsid w:val="748A628F"/>
    <w:rsid w:val="74F93FBA"/>
    <w:rsid w:val="75B91EE6"/>
    <w:rsid w:val="762117A4"/>
    <w:rsid w:val="76B22388"/>
    <w:rsid w:val="76BC5935"/>
    <w:rsid w:val="77285607"/>
    <w:rsid w:val="772F2143"/>
    <w:rsid w:val="77F34BFA"/>
    <w:rsid w:val="780954C6"/>
    <w:rsid w:val="78E26974"/>
    <w:rsid w:val="7A6F5ED8"/>
    <w:rsid w:val="7AED3951"/>
    <w:rsid w:val="7B034F5F"/>
    <w:rsid w:val="7C0D1140"/>
    <w:rsid w:val="7C2A2E76"/>
    <w:rsid w:val="7C6F2938"/>
    <w:rsid w:val="7D3F0317"/>
    <w:rsid w:val="7D6B779A"/>
    <w:rsid w:val="7D8017F6"/>
    <w:rsid w:val="7D806CF4"/>
    <w:rsid w:val="7D8D7A2C"/>
    <w:rsid w:val="7E4B7A2F"/>
    <w:rsid w:val="7E4C4988"/>
    <w:rsid w:val="7E5628FC"/>
    <w:rsid w:val="7E80364F"/>
    <w:rsid w:val="7F1B526F"/>
    <w:rsid w:val="7F1F2F45"/>
    <w:rsid w:val="7FA543E7"/>
    <w:rsid w:val="7FB950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w:basedOn w:val="1"/>
    <w:next w:val="1"/>
    <w:unhideWhenUsed/>
    <w:qFormat/>
    <w:uiPriority w:val="99"/>
    <w:pPr>
      <w:spacing w:after="120"/>
    </w:pPr>
  </w:style>
  <w:style w:type="paragraph" w:styleId="5">
    <w:name w:val="Body Text Indent"/>
    <w:basedOn w:val="1"/>
    <w:next w:val="3"/>
    <w:qFormat/>
    <w:uiPriority w:val="0"/>
    <w:pPr>
      <w:ind w:firstLine="640" w:firstLineChars="200"/>
    </w:pPr>
    <w:rPr>
      <w:rFonts w:ascii="仿宋_GB2312" w:eastAsia="宋体"/>
    </w:rPr>
  </w:style>
  <w:style w:type="paragraph" w:styleId="6">
    <w:name w:val="footer"/>
    <w:basedOn w:val="1"/>
    <w:link w:val="14"/>
    <w:qFormat/>
    <w:uiPriority w:val="99"/>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able of figures"/>
    <w:basedOn w:val="1"/>
    <w:next w:val="1"/>
    <w:qFormat/>
    <w:uiPriority w:val="0"/>
    <w:pPr>
      <w:ind w:left="200" w:leftChars="200" w:hanging="200" w:hangingChars="200"/>
    </w:pPr>
  </w:style>
  <w:style w:type="paragraph" w:styleId="9">
    <w:name w:val="Body Text First Indent"/>
    <w:basedOn w:val="4"/>
    <w:next w:val="4"/>
    <w:qFormat/>
    <w:uiPriority w:val="0"/>
    <w:pPr>
      <w:ind w:firstLine="420" w:firstLineChars="100"/>
    </w:pPr>
    <w:rPr>
      <w:rFonts w:ascii="Times New Roman" w:hAnsi="Times New Roman" w:cs="Times New Roman"/>
      <w:szCs w:val="20"/>
    </w:rPr>
  </w:style>
  <w:style w:type="paragraph" w:styleId="10">
    <w:name w:val="Body Text First Indent 2"/>
    <w:basedOn w:val="5"/>
    <w:next w:val="9"/>
    <w:qFormat/>
    <w:uiPriority w:val="0"/>
    <w:pPr>
      <w:snapToGrid w:val="0"/>
      <w:spacing w:after="120" w:line="590" w:lineRule="exact"/>
      <w:ind w:left="420" w:leftChars="200" w:firstLine="420"/>
    </w:pPr>
    <w:rPr>
      <w:rFonts w:ascii="Times New Roman" w:eastAsia="仿宋_GB2312"/>
    </w:rPr>
  </w:style>
  <w:style w:type="paragraph" w:styleId="13">
    <w:name w:val="List Paragraph"/>
    <w:basedOn w:val="1"/>
    <w:qFormat/>
    <w:uiPriority w:val="0"/>
    <w:pPr>
      <w:ind w:firstLine="420" w:firstLineChars="200"/>
    </w:pPr>
    <w:rPr>
      <w:rFonts w:ascii="Times New Roman" w:hAnsi="Times New Roman" w:cs="Times New Roman"/>
      <w:szCs w:val="20"/>
    </w:rPr>
  </w:style>
  <w:style w:type="character" w:customStyle="1" w:styleId="14">
    <w:name w:val="页脚 字符"/>
    <w:basedOn w:val="12"/>
    <w:link w:val="6"/>
    <w:qFormat/>
    <w:uiPriority w:val="99"/>
    <w:rPr>
      <w:kern w:val="2"/>
      <w:sz w:val="18"/>
      <w:szCs w:val="24"/>
    </w:rPr>
  </w:style>
  <w:style w:type="paragraph" w:customStyle="1" w:styleId="15">
    <w:name w:val="文头"/>
    <w:basedOn w:val="1"/>
    <w:qFormat/>
    <w:uiPriority w:val="0"/>
    <w:pPr>
      <w:tabs>
        <w:tab w:val="left" w:pos="6663"/>
      </w:tabs>
      <w:autoSpaceDE w:val="0"/>
      <w:autoSpaceDN w:val="0"/>
      <w:snapToGrid w:val="0"/>
      <w:spacing w:after="1000" w:line="3100" w:lineRule="atLeast"/>
      <w:ind w:left="511" w:right="227" w:hanging="284"/>
      <w:jc w:val="distribute"/>
    </w:pPr>
    <w:rPr>
      <w:rFonts w:ascii="汉鼎简大宋" w:hAnsi="Times New Roman" w:eastAsia="汉鼎简大宋" w:cs="汉鼎简大宋"/>
      <w:b/>
      <w:bCs/>
      <w:color w:val="FF0000"/>
      <w:w w:val="62"/>
      <w:kern w:val="0"/>
      <w:sz w:val="140"/>
      <w:szCs w:val="140"/>
    </w:rPr>
  </w:style>
  <w:style w:type="paragraph" w:customStyle="1" w:styleId="16">
    <w:name w:val="紧急程度"/>
    <w:basedOn w:val="1"/>
    <w:qFormat/>
    <w:uiPriority w:val="0"/>
    <w:pPr>
      <w:autoSpaceDE w:val="0"/>
      <w:autoSpaceDN w:val="0"/>
      <w:adjustRightInd w:val="0"/>
      <w:spacing w:line="500" w:lineRule="atLeast"/>
      <w:jc w:val="right"/>
    </w:pPr>
    <w:rPr>
      <w:rFonts w:ascii="方正黑体_GBK" w:hAnsi="Times New Roman" w:eastAsia="方正黑体_GBK" w:cs="方正黑体_GBK"/>
      <w:kern w:val="0"/>
      <w:sz w:val="32"/>
      <w:szCs w:val="32"/>
    </w:rPr>
  </w:style>
  <w:style w:type="paragraph" w:customStyle="1" w:styleId="17">
    <w:name w:val="红线"/>
    <w:basedOn w:val="2"/>
    <w:qFormat/>
    <w:uiPriority w:val="0"/>
    <w:pPr>
      <w:keepNext w:val="0"/>
      <w:keepLines w:val="0"/>
      <w:autoSpaceDE w:val="0"/>
      <w:autoSpaceDN w:val="0"/>
      <w:adjustRightInd w:val="0"/>
      <w:spacing w:before="0" w:after="851" w:line="227" w:lineRule="atLeast"/>
      <w:ind w:right="-142"/>
      <w:jc w:val="center"/>
      <w:outlineLvl w:val="9"/>
    </w:pPr>
    <w:rPr>
      <w:rFonts w:ascii="宋体" w:hAnsi="Times New Roman" w:eastAsia="宋体" w:cs="宋体"/>
      <w:kern w:val="0"/>
      <w:sz w:val="10"/>
      <w:szCs w:val="10"/>
    </w:rPr>
  </w:style>
  <w:style w:type="character" w:customStyle="1" w:styleId="18">
    <w:name w:val="标题 1 字符"/>
    <w:basedOn w:val="12"/>
    <w:link w:val="2"/>
    <w:qFormat/>
    <w:uiPriority w:val="0"/>
    <w:rPr>
      <w:b/>
      <w:bCs/>
      <w:kern w:val="44"/>
      <w:sz w:val="44"/>
      <w:szCs w:val="44"/>
    </w:rPr>
  </w:style>
  <w:style w:type="paragraph" w:customStyle="1" w:styleId="19">
    <w:name w:val="线型"/>
    <w:basedOn w:val="1"/>
    <w:qFormat/>
    <w:uiPriority w:val="0"/>
    <w:pPr>
      <w:autoSpaceDE w:val="0"/>
      <w:autoSpaceDN w:val="0"/>
      <w:adjustRightInd w:val="0"/>
      <w:ind w:right="357"/>
      <w:jc w:val="center"/>
    </w:pPr>
    <w:rPr>
      <w:rFonts w:ascii="Times New Roman" w:hAnsi="Times New Roman" w:eastAsia="方正仿宋_GBK" w:cs="Times New Roman"/>
      <w:snapToGrid w:val="0"/>
      <w:kern w:val="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1294</Words>
  <Characters>7382</Characters>
  <Lines>61</Lines>
  <Paragraphs>17</Paragraphs>
  <TotalTime>0</TotalTime>
  <ScaleCrop>false</ScaleCrop>
  <LinksUpToDate>false</LinksUpToDate>
  <CharactersWithSpaces>8659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2023-01-03T02:54:00Z</dcterms:created>
  <dc:creator>admin</dc:creator>
  <cp:lastModifiedBy>张学云</cp:lastModifiedBy>
  <cp:lastPrinted>2024-03-11T07:32:00Z</cp:lastPrinted>
  <dcterms:modified xsi:type="dcterms:W3CDTF">2024-03-15T07:13:10Z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774B0A2613C4408BA1AC7799095DE731</vt:lpwstr>
  </property>
</Properties>
</file>